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880" w:firstLineChars="200"/>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三河</w:t>
      </w:r>
      <w:r>
        <w:rPr>
          <w:rFonts w:ascii="Times New Roman" w:hAnsi="Times New Roman" w:eastAsia="方正小标宋简体" w:cs="Times New Roman"/>
          <w:sz w:val="44"/>
          <w:szCs w:val="44"/>
        </w:rPr>
        <w:t>市</w:t>
      </w:r>
      <w:r>
        <w:rPr>
          <w:rFonts w:hint="eastAsia" w:ascii="Times New Roman" w:hAnsi="Times New Roman" w:eastAsia="方正小标宋简体" w:cs="Times New Roman"/>
          <w:sz w:val="44"/>
          <w:szCs w:val="44"/>
        </w:rPr>
        <w:t>燕郊高新技术产业开发区管理委员会</w:t>
      </w:r>
    </w:p>
    <w:p>
      <w:pPr>
        <w:spacing w:line="584" w:lineRule="exact"/>
        <w:ind w:firstLine="880" w:firstLineChars="20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21</w:t>
      </w:r>
      <w:r>
        <w:rPr>
          <w:rFonts w:ascii="Times New Roman" w:hAnsi="Times New Roman" w:eastAsia="方正小标宋简体" w:cs="Times New Roman"/>
          <w:sz w:val="44"/>
          <w:szCs w:val="44"/>
        </w:rPr>
        <w:t>年部门预算信息公开</w:t>
      </w:r>
      <w:r>
        <w:rPr>
          <w:rFonts w:hint="eastAsia" w:ascii="Times New Roman" w:hAnsi="Times New Roman" w:eastAsia="方正小标宋简体" w:cs="Times New Roman"/>
          <w:sz w:val="44"/>
          <w:szCs w:val="44"/>
        </w:rPr>
        <w:t>情况说明</w:t>
      </w:r>
    </w:p>
    <w:p>
      <w:pPr>
        <w:spacing w:line="584" w:lineRule="exact"/>
        <w:ind w:firstLine="880" w:firstLineChars="200"/>
        <w:jc w:val="center"/>
        <w:rPr>
          <w:rFonts w:ascii="Times New Roman" w:hAnsi="Times New Roman" w:eastAsia="仿宋_GB2312" w:cs="Times New Roman"/>
          <w:sz w:val="44"/>
          <w:szCs w:val="44"/>
        </w:rPr>
      </w:pP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w:t>
      </w:r>
      <w:r>
        <w:rPr>
          <w:rFonts w:hint="eastAsia" w:ascii="Times New Roman" w:hAnsi="Times New Roman" w:eastAsia="仿宋_GB2312" w:cs="Times New Roman"/>
          <w:sz w:val="32"/>
          <w:szCs w:val="32"/>
        </w:rPr>
        <w:t>三河</w:t>
      </w:r>
      <w:r>
        <w:rPr>
          <w:rFonts w:ascii="Times New Roman" w:hAnsi="Times New Roman" w:eastAsia="仿宋_GB2312" w:cs="Times New Roman"/>
          <w:sz w:val="32"/>
          <w:szCs w:val="32"/>
        </w:rPr>
        <w:t>市</w:t>
      </w:r>
      <w:r>
        <w:rPr>
          <w:rFonts w:hint="eastAsia" w:ascii="Times New Roman" w:hAnsi="Times New Roman" w:eastAsia="仿宋_GB2312" w:cs="Times New Roman"/>
          <w:sz w:val="32"/>
          <w:szCs w:val="32"/>
        </w:rPr>
        <w:t>燕郊高新技术产业开发区管理委员会</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年部门预算公开如下：</w:t>
      </w:r>
    </w:p>
    <w:p>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一、部门职责及机构设置情况</w:t>
      </w:r>
    </w:p>
    <w:p>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pPr>
        <w:spacing w:line="584" w:lineRule="exact"/>
        <w:ind w:firstLine="66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燕郊高新区党工委、管委作为三河市委、市政府的派出机构，承担着高新区范围内的主要政治、经济、文化及社会管理职能。日常管理职能主要包括：</w:t>
      </w:r>
    </w:p>
    <w:p>
      <w:pPr>
        <w:spacing w:line="584" w:lineRule="exact"/>
        <w:ind w:firstLine="66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是城市管理的职能。燕郊高新区又称西市区，是三河市区的一个重要组成部分，城市道路、管网、通讯、水、电、环境、卫生等各种公共设施繁多，维护和管理的任务相当繁重。二是社会管理的职能。燕郊高新区管委会具有代行政府社会管理的职能，包括维护社会正常秩序、协调城乡关系、政企关系、干群关系、协调驻区机构关系的职能。三是招商引资的职能。燕郊高新区作为全市经济的窗口和龙头，招商引资工作是各项工作的重中之重。四是维护稳定的职能。按照属地管理的原则，高新区有“保一方平安”的维护稳定职能。</w:t>
      </w:r>
    </w:p>
    <w:p>
      <w:pPr>
        <w:spacing w:line="584" w:lineRule="exact"/>
        <w:ind w:firstLine="66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燕郊高新技术产业开发区管理委员会共有以下职能部门：燕郊高新区招商中心、燕郊高新区创业孵化中心、燕郊高新区宣传策划中心、城市建设投资公司、开发建设投资公司、机场建设处、燕郊高新区综合办公室、燕郊高新区党建办公室、燕郊高新区社会事务办、燕郊高新区督察专员办公室、燕郊高新区群众工作中心、燕郊高新区人力资源管理局、燕郊高新区财政金融保障局、燕郊高新区科技和产业服务局、燕郊高新区投资服务局、燕郊高新区战略研究中心、燕郊高新区国土规划局、燕郊高新区住房建设局、燕郊高新区综合执法局、燕郊高新区应急管理局、燕郊高新区市政园林管理局、燕郊高新区行政审批局、燕郊高新区纪工委、燕郊高新区工会、团委、妇联。</w:t>
      </w:r>
    </w:p>
    <w:p>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10"/>
        <w:tblW w:w="975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584" w:hRule="atLeast"/>
          <w:tblHeader/>
          <w:jc w:val="center"/>
        </w:trPr>
        <w:tc>
          <w:tcPr>
            <w:tcW w:w="4443"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tc>
        <w:tc>
          <w:tcPr>
            <w:tcW w:w="1134" w:type="dxa"/>
            <w:vMerge w:val="continue"/>
            <w:shd w:val="clear" w:color="auto" w:fill="auto"/>
            <w:vAlign w:val="center"/>
          </w:tcPr>
          <w:p/>
        </w:tc>
        <w:tc>
          <w:tcPr>
            <w:tcW w:w="1276" w:type="dxa"/>
            <w:vMerge w:val="continue"/>
            <w:shd w:val="clear" w:color="auto" w:fill="auto"/>
            <w:vAlign w:val="center"/>
          </w:tcPr>
          <w:p/>
        </w:tc>
        <w:tc>
          <w:tcPr>
            <w:tcW w:w="2902" w:type="dxa"/>
            <w:vMerge w:val="continue"/>
            <w:shd w:val="clear" w:color="auto" w:fill="auto"/>
            <w:vAlign w:val="center"/>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443" w:type="dxa"/>
            <w:shd w:val="clear" w:color="auto" w:fill="auto"/>
            <w:vAlign w:val="center"/>
          </w:tcPr>
          <w:p>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燕郊高新技术产业开发区管理委员会</w:t>
            </w:r>
          </w:p>
        </w:tc>
        <w:tc>
          <w:tcPr>
            <w:tcW w:w="1134" w:type="dxa"/>
            <w:shd w:val="clear" w:color="auto" w:fill="auto"/>
            <w:vAlign w:val="center"/>
          </w:tcPr>
          <w:p>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行政单位</w:t>
            </w:r>
          </w:p>
        </w:tc>
        <w:tc>
          <w:tcPr>
            <w:tcW w:w="1276" w:type="dxa"/>
            <w:shd w:val="clear" w:color="auto" w:fill="auto"/>
            <w:vAlign w:val="center"/>
          </w:tcPr>
          <w:p>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正处级</w:t>
            </w:r>
          </w:p>
        </w:tc>
        <w:tc>
          <w:tcPr>
            <w:tcW w:w="2902" w:type="dxa"/>
            <w:shd w:val="clear" w:color="auto" w:fill="auto"/>
            <w:vAlign w:val="center"/>
          </w:tcPr>
          <w:p>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财政拨款（行政）</w:t>
            </w:r>
          </w:p>
        </w:tc>
      </w:tr>
    </w:tbl>
    <w:p>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二、部门预算安排的总体情况</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按照预算管理有关规定，目前我市部门预算的编制实行综合预算制度，即全部收入和支出都反映在预算中。</w:t>
      </w:r>
      <w:r>
        <w:rPr>
          <w:rFonts w:hint="eastAsia" w:ascii="Times New Roman" w:hAnsi="Times New Roman" w:eastAsia="仿宋_GB2312" w:cs="Times New Roman"/>
          <w:sz w:val="32"/>
          <w:szCs w:val="32"/>
        </w:rPr>
        <w:t>三河</w:t>
      </w:r>
      <w:r>
        <w:rPr>
          <w:rFonts w:ascii="Times New Roman" w:hAnsi="Times New Roman" w:eastAsia="仿宋_GB2312" w:cs="Times New Roman"/>
          <w:sz w:val="32"/>
          <w:szCs w:val="32"/>
        </w:rPr>
        <w:t>市</w:t>
      </w:r>
      <w:r>
        <w:rPr>
          <w:rFonts w:hint="eastAsia" w:ascii="Times New Roman" w:hAnsi="Times New Roman" w:eastAsia="仿宋_GB2312" w:cs="Times New Roman"/>
          <w:sz w:val="32"/>
          <w:szCs w:val="32"/>
        </w:rPr>
        <w:t>燕郊高新技术产业开发区管理委员会</w:t>
      </w:r>
      <w:r>
        <w:rPr>
          <w:rFonts w:ascii="Times New Roman" w:hAnsi="Times New Roman" w:eastAsia="仿宋_GB2312" w:cs="Times New Roman"/>
          <w:sz w:val="32"/>
          <w:szCs w:val="32"/>
        </w:rPr>
        <w:t>机关的收支包含在部门预算中。</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rPr>
        <w:t>121757.25</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66393.96</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rPr>
        <w:t>53972.99</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rPr>
        <w:t>1390.30万元</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w:t>
      </w:r>
      <w:r>
        <w:rPr>
          <w:rFonts w:hint="eastAsia" w:ascii="Times New Roman" w:hAnsi="Times New Roman" w:eastAsia="仿宋_GB2312" w:cs="Times New Roman"/>
          <w:sz w:val="32"/>
          <w:szCs w:val="32"/>
        </w:rPr>
        <w:t>三河</w:t>
      </w:r>
      <w:r>
        <w:rPr>
          <w:rFonts w:ascii="Times New Roman" w:hAnsi="Times New Roman" w:eastAsia="仿宋_GB2312" w:cs="Times New Roman"/>
          <w:sz w:val="32"/>
          <w:szCs w:val="32"/>
        </w:rPr>
        <w:t>市</w:t>
      </w:r>
      <w:r>
        <w:rPr>
          <w:rFonts w:hint="eastAsia" w:ascii="Times New Roman" w:hAnsi="Times New Roman" w:eastAsia="仿宋_GB2312" w:cs="Times New Roman"/>
          <w:sz w:val="32"/>
          <w:szCs w:val="32"/>
        </w:rPr>
        <w:t>燕郊高新技术产业开发区管理委员会2021</w:t>
      </w:r>
      <w:r>
        <w:rPr>
          <w:rFonts w:ascii="Times New Roman" w:hAnsi="Times New Roman" w:eastAsia="仿宋_GB2312" w:cs="Times New Roman"/>
          <w:sz w:val="32"/>
          <w:szCs w:val="32"/>
        </w:rPr>
        <w:t>年度部门预算中支出预算的总体情况。20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rPr>
        <w:t>121757.25</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8481.56</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7644.89</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836.67</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rPr>
        <w:t>113275.69</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城市管理业务费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环境卫生维护费、城市基础设施运行维护费</w:t>
      </w:r>
      <w:r>
        <w:rPr>
          <w:rFonts w:ascii="Times New Roman" w:hAnsi="Times New Roman" w:eastAsia="仿宋_GB2312" w:cs="Times New Roman"/>
          <w:sz w:val="32"/>
          <w:szCs w:val="32"/>
        </w:rPr>
        <w:t>等</w:t>
      </w:r>
      <w:r>
        <w:rPr>
          <w:rFonts w:hint="eastAsia" w:ascii="Times New Roman" w:hAnsi="Times New Roman" w:eastAsia="仿宋_GB2312" w:cs="Times New Roman"/>
          <w:sz w:val="32"/>
          <w:szCs w:val="32"/>
        </w:rPr>
        <w:t>，以及列入上述类别的城市基础设施建设支出</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rPr>
        <w:t>121757.25</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年预算</w:t>
      </w:r>
      <w:r>
        <w:rPr>
          <w:rFonts w:hint="eastAsia" w:ascii="Times New Roman" w:hAnsi="Times New Roman" w:eastAsia="仿宋_GB2312" w:cs="Times New Roman"/>
          <w:sz w:val="32"/>
          <w:szCs w:val="32"/>
        </w:rPr>
        <w:t>减少17789.92</w:t>
      </w:r>
      <w:r>
        <w:rPr>
          <w:rFonts w:ascii="Times New Roman" w:hAnsi="Times New Roman" w:eastAsia="仿宋_GB2312" w:cs="Times New Roman"/>
          <w:sz w:val="32"/>
          <w:szCs w:val="32"/>
        </w:rPr>
        <w:t>万元，其中：基本支出增加</w:t>
      </w:r>
      <w:r>
        <w:rPr>
          <w:rFonts w:hint="eastAsia" w:ascii="Times New Roman" w:hAnsi="Times New Roman" w:eastAsia="仿宋_GB2312" w:cs="Times New Roman"/>
          <w:sz w:val="32"/>
          <w:szCs w:val="32"/>
        </w:rPr>
        <w:t>3403.77</w:t>
      </w:r>
      <w:r>
        <w:rPr>
          <w:rFonts w:ascii="Times New Roman" w:hAnsi="Times New Roman" w:eastAsia="仿宋_GB2312" w:cs="Times New Roman"/>
          <w:sz w:val="32"/>
          <w:szCs w:val="32"/>
        </w:rPr>
        <w:t>万元，主要</w:t>
      </w:r>
      <w:r>
        <w:rPr>
          <w:rFonts w:hint="eastAsia" w:ascii="Times New Roman" w:hAnsi="Times New Roman" w:eastAsia="仿宋_GB2312" w:cs="Times New Roman"/>
          <w:sz w:val="32"/>
          <w:szCs w:val="32"/>
        </w:rPr>
        <w:t>原因是高新区管委体制机制改革后，职能、机构和人员的增加导致个人薪酬及社保经费</w:t>
      </w:r>
      <w:r>
        <w:rPr>
          <w:rFonts w:ascii="Times New Roman" w:hAnsi="Times New Roman" w:eastAsia="仿宋_GB2312" w:cs="Times New Roman"/>
          <w:sz w:val="32"/>
          <w:szCs w:val="32"/>
        </w:rPr>
        <w:t>支出</w:t>
      </w:r>
      <w:r>
        <w:rPr>
          <w:rFonts w:hint="eastAsia" w:ascii="Times New Roman" w:hAnsi="Times New Roman" w:eastAsia="仿宋_GB2312" w:cs="Times New Roman"/>
          <w:sz w:val="32"/>
          <w:szCs w:val="32"/>
        </w:rPr>
        <w:t>增加</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减少21193.69</w:t>
      </w:r>
      <w:r>
        <w:rPr>
          <w:rFonts w:ascii="Times New Roman" w:hAnsi="Times New Roman" w:eastAsia="仿宋_GB2312" w:cs="Times New Roman"/>
          <w:sz w:val="32"/>
          <w:szCs w:val="32"/>
        </w:rPr>
        <w:t>万元，主要</w:t>
      </w:r>
      <w:r>
        <w:rPr>
          <w:rFonts w:hint="eastAsia" w:ascii="Times New Roman" w:hAnsi="Times New Roman" w:eastAsia="仿宋_GB2312" w:cs="Times New Roman"/>
          <w:sz w:val="32"/>
          <w:szCs w:val="32"/>
        </w:rPr>
        <w:t>原因是按需统筹安排项目资金</w:t>
      </w:r>
      <w:r>
        <w:rPr>
          <w:rFonts w:ascii="Times New Roman" w:hAnsi="Times New Roman" w:eastAsia="仿宋_GB2312" w:cs="Times New Roman"/>
          <w:sz w:val="32"/>
          <w:szCs w:val="32"/>
        </w:rPr>
        <w:t>。</w:t>
      </w: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三、机关运行经费安排情况</w:t>
      </w:r>
    </w:p>
    <w:p>
      <w:pPr>
        <w:autoSpaceDE w:val="0"/>
        <w:autoSpaceDN w:val="0"/>
        <w:adjustRightInd w:val="0"/>
        <w:spacing w:line="584"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机关运行经费共计安排</w:t>
      </w:r>
      <w:r>
        <w:rPr>
          <w:rFonts w:hint="eastAsia" w:ascii="Times New Roman" w:hAnsi="Times New Roman" w:eastAsia="仿宋_GB2312" w:cs="Times New Roman"/>
          <w:sz w:val="32"/>
          <w:szCs w:val="32"/>
        </w:rPr>
        <w:t>689.44</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rPr>
        <w:t>燕郊高新技术产业开发区管理委员会的日常办公经费，以及</w:t>
      </w:r>
      <w:r>
        <w:rPr>
          <w:rFonts w:ascii="Times New Roman" w:hAnsi="Times New Roman" w:eastAsia="仿宋_GB2312" w:cs="Times New Roman"/>
          <w:sz w:val="32"/>
          <w:szCs w:val="32"/>
        </w:rPr>
        <w:t>办公区的日常维修、办公用房水电费、办公用房取暖费、办公用房物业管理费等日常运行支出。</w:t>
      </w:r>
    </w:p>
    <w:p>
      <w:pPr>
        <w:autoSpaceDE w:val="0"/>
        <w:autoSpaceDN w:val="0"/>
        <w:adjustRightInd w:val="0"/>
        <w:spacing w:line="584" w:lineRule="exact"/>
        <w:ind w:firstLine="627" w:firstLineChars="196"/>
        <w:jc w:val="left"/>
        <w:rPr>
          <w:rFonts w:ascii="黑体" w:hAnsi="黑体" w:eastAsia="黑体" w:cs="黑体"/>
          <w:bCs/>
          <w:sz w:val="32"/>
          <w:szCs w:val="32"/>
        </w:rPr>
      </w:pPr>
      <w:r>
        <w:rPr>
          <w:rFonts w:hint="eastAsia" w:ascii="黑体" w:hAnsi="黑体" w:eastAsia="黑体" w:cs="黑体"/>
          <w:bCs/>
          <w:sz w:val="32"/>
          <w:szCs w:val="32"/>
        </w:rPr>
        <w:t>四、财政拨款“三公”经费预算情况及增减变化原因</w:t>
      </w:r>
    </w:p>
    <w:p>
      <w:pPr>
        <w:autoSpaceDE w:val="0"/>
        <w:autoSpaceDN w:val="0"/>
        <w:adjustRightInd w:val="0"/>
        <w:spacing w:line="584"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财政拨款“三公”经费预算安排</w:t>
      </w:r>
      <w:r>
        <w:rPr>
          <w:rFonts w:hint="eastAsia" w:ascii="Times New Roman" w:hAnsi="Times New Roman" w:eastAsia="仿宋_GB2312" w:cs="Times New Roman"/>
          <w:sz w:val="32"/>
          <w:szCs w:val="32"/>
        </w:rPr>
        <w:t>244.21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，与去年预算安排基本持平。</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rPr>
        <w:t>229.23</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rPr>
        <w:t>229.23</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rPr>
        <w:t>14.98</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相比减少0.27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公务用车购置及运维费</w:t>
      </w:r>
      <w:r>
        <w:rPr>
          <w:rFonts w:hint="eastAsia" w:ascii="Times New Roman" w:hAnsi="Times New Roman" w:eastAsia="仿宋_GB2312" w:cs="Times New Roman"/>
          <w:sz w:val="32"/>
          <w:szCs w:val="32"/>
        </w:rPr>
        <w:t>减少0.04</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rPr>
        <w:t>减少0.23万元。</w:t>
      </w:r>
    </w:p>
    <w:p>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五、绩效预算信息</w:t>
      </w:r>
    </w:p>
    <w:p>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第一部分 部门整体绩效目标</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2021年，燕郊高新区工作的总体思路是：深入贯彻廊坊市委六届十一次全会和三河市委六届八次全会精神，全面落实新发展理念，以推动高质量发展为主题，以贯彻落实通州区与北三县《协同发展规划》为主基调，瞄准“一个目标”，突出“一条主线”，坚持“双轮”驱动，实施“十大跃升工程”，构筑一体化联动发展的前沿阵地，打造“科创之城·活力燕郊”，更好地发挥创新驱动发展示范区、高质量发展先行区作用，为三河市“挺进三十强、争当领头羊”、打造“三个走在前列”协同发展先行示范区做出新贡献。</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瞄准“一个目标”就是以“全面提升发展能级，三年营收税收翻番，进入全国高新区百强行列”为发展目标，抢抓京津冀协同发展和北京城市副中心建设的重大机遇，构建现代化产业体系，增强创新驱动发展能力，激发改革创新发展活力。</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突出“一条主线”就是以“转变发展方式，推进高质量发展”为主线，贯彻落实新发展理念，全力集中精力上项目，坚持在做大经济总量中优化结构、提升质量,提升产业链供应链现代化水平，加快传统产业转型升级,培育经济发展新动能,扎实推进高新区高质量发展。</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坚持“双轮”驱动就是以“创新驱动”为基本路径, 深化京津冀协同创新,优化创新创业生态,补足创新短板,壮大创新型企业主体，全面增强科技创新能力；以“改革创新”为根本动力，深化管理体制机制创新，打造市场化、法治化、国际化营商环境,全面激发发展活力和竞争力。</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实施“十大跃升工程”就是以协同发展跃升、产业集群跃升、项目建设跃升、创新能力跃升、城市品质跃升、生态环境跃升、要素保障跃升、社会治理跃升、行政效能跃升、党的建设跃升“十大工程”为抓手，不断提升综合实力、产业竞争力和高质量发展能力，为全市发展助力添彩。</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1、辖区工程基础设施运行提升</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绩效目标：科学系统的开展城市基础设施建设，强基础，补短板。年内要按期完成并投入使用一批重点建设项目，提高城市基础设施承载力，为提高人居环境质量和协同发展规划的顺利推进创造条件 。</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绩效指标：以工程量完成率作为绩效考评的重要依据，力争年内实际完成工程量占计划完成工程量的100%，受益群体调查中，满意和较满意的人数占全部调查人数的比率达到95%。</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2、招商引资服务能力得以提升</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绩效目标：营造便捷、高效良好的营商环境，招商政策日趋完善，引进项目水平显著提高，顺利完成市政府制定的招商工作计划。</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绩效指标：宣传推介高新区投资环境，提高园区知名度，吸引更多的客商来区考察洽谈，争取优质项目尽快签约落地；提高招商人员整体素质和业务水平，全年接待客商服务满意率达到90%以上。</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3、人才引进与管理的能力进一步增强</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绩效目标：通过组织各种类型的招聘活动，出台有吸引力的人才引进政策，诚揽各方人才来燕郊创业、就业，为区内科技企业的蓬勃发展提供人才支撑，改善企业招工难现象。</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绩效指标：2021年组织各类招聘会40场发布就业岗位5000个，组织参会企业15000家。通过招聘会的举办改善企业招工困难问题。对求职人员调查中满意占调查总人数的比率进行电话回访，满意度高达95%以上。</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4、培育壮大经济新动能，力促产业集群发展壮大。</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绩效目标：构建“3</w:t>
      </w:r>
      <w:r>
        <w:rPr>
          <w:rFonts w:ascii="仿宋_GB2312" w:eastAsia="仿宋_GB2312" w:cs="Times New Roman"/>
          <w:sz w:val="32"/>
          <w:szCs w:val="32"/>
        </w:rPr>
        <w:t>+1</w:t>
      </w:r>
      <w:r>
        <w:rPr>
          <w:rFonts w:hint="eastAsia" w:ascii="仿宋_GB2312" w:eastAsia="仿宋_GB2312" w:cs="Times New Roman"/>
          <w:sz w:val="32"/>
          <w:szCs w:val="32"/>
        </w:rPr>
        <w:t>”现代化产业体系，做大做强新一代信息技术、高端装备制造、生物医药和大健康三大主导产业；实施“强链、补链、延链”计划，推进产业链条式、集群式发展；依托兴远高科、谊安医疗、中南高科等2</w:t>
      </w:r>
      <w:r>
        <w:rPr>
          <w:rFonts w:ascii="仿宋_GB2312" w:eastAsia="仿宋_GB2312" w:cs="Times New Roman"/>
          <w:sz w:val="32"/>
          <w:szCs w:val="32"/>
        </w:rPr>
        <w:t>3</w:t>
      </w:r>
      <w:r>
        <w:rPr>
          <w:rFonts w:hint="eastAsia" w:ascii="仿宋_GB2312" w:eastAsia="仿宋_GB2312" w:cs="Times New Roman"/>
          <w:sz w:val="32"/>
          <w:szCs w:val="32"/>
        </w:rPr>
        <w:t>家总建筑面积达2</w:t>
      </w:r>
      <w:r>
        <w:rPr>
          <w:rFonts w:ascii="仿宋_GB2312" w:eastAsia="仿宋_GB2312" w:cs="Times New Roman"/>
          <w:sz w:val="32"/>
          <w:szCs w:val="32"/>
        </w:rPr>
        <w:t>56</w:t>
      </w:r>
      <w:r>
        <w:rPr>
          <w:rFonts w:hint="eastAsia" w:ascii="仿宋_GB2312" w:eastAsia="仿宋_GB2312" w:cs="Times New Roman"/>
          <w:sz w:val="32"/>
          <w:szCs w:val="32"/>
        </w:rPr>
        <w:t>万平方米的科创园，建设一批高水平科创园。</w:t>
      </w:r>
      <w:r>
        <w:rPr>
          <w:rFonts w:ascii="仿宋_GB2312" w:eastAsia="仿宋_GB2312" w:cs="Times New Roman"/>
          <w:sz w:val="32"/>
          <w:szCs w:val="32"/>
        </w:rPr>
        <w:t xml:space="preserve"> </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绩效指标：全年完成财政收入30.3666亿元（不含房地产行业税收），完成一般公共预算收入16.3856亿元（不含房地产行业税收）。</w:t>
      </w:r>
      <w:r>
        <w:rPr>
          <w:rFonts w:ascii="仿宋_GB2312" w:eastAsia="仿宋_GB2312" w:cs="Times New Roman"/>
          <w:sz w:val="32"/>
          <w:szCs w:val="32"/>
        </w:rPr>
        <w:t xml:space="preserve"> </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5、强力推进项目建设，增强经济发展后劲。</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绩效目标：面向京津、粤港澳大湾区、长三角等区域高质量引进行业领军企业、创新型中小企业，推进定向招商、以商招商、产业链招商；依托目前在谈的3</w:t>
      </w:r>
      <w:r>
        <w:rPr>
          <w:rFonts w:ascii="仿宋_GB2312" w:eastAsia="仿宋_GB2312" w:cs="Times New Roman"/>
          <w:sz w:val="32"/>
          <w:szCs w:val="32"/>
        </w:rPr>
        <w:t>0</w:t>
      </w:r>
      <w:r>
        <w:rPr>
          <w:rFonts w:hint="eastAsia" w:ascii="仿宋_GB2312" w:eastAsia="仿宋_GB2312" w:cs="Times New Roman"/>
          <w:sz w:val="32"/>
          <w:szCs w:val="32"/>
        </w:rPr>
        <w:t>余个项目，促进项目尽快落地建设，进一步谋划大产业、招引大项目，增加项目储备量；倾力支持既有企业增资扩建，扩大“二期”、“三期”效应。</w:t>
      </w:r>
      <w:r>
        <w:rPr>
          <w:rFonts w:ascii="仿宋_GB2312" w:eastAsia="仿宋_GB2312" w:cs="Times New Roman"/>
          <w:sz w:val="32"/>
          <w:szCs w:val="32"/>
        </w:rPr>
        <w:t xml:space="preserve"> </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绩效指标：年内引进亿元以上投资项目4</w:t>
      </w:r>
      <w:r>
        <w:rPr>
          <w:rFonts w:ascii="仿宋_GB2312" w:eastAsia="仿宋_GB2312" w:cs="Times New Roman"/>
          <w:sz w:val="32"/>
          <w:szCs w:val="32"/>
        </w:rPr>
        <w:t>0</w:t>
      </w:r>
      <w:r>
        <w:rPr>
          <w:rFonts w:hint="eastAsia" w:ascii="仿宋_GB2312" w:eastAsia="仿宋_GB2312" w:cs="Times New Roman"/>
          <w:sz w:val="32"/>
          <w:szCs w:val="32"/>
        </w:rPr>
        <w:t>个。</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6、持之以恒抓创新能力建设，全面塑造发展新优势。</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目标：实施新一轮高新技术企业和科技型中小企业培育三年计划，培育壮大创新型企业主体；聚焦优势支柱及战略新兴产业领域，加强重大科技创新平台建设，争创国家级技术创新中心、制造业创新中心和产业创新中心等国家级牌子；加速科技成果转移转化，深化“京津研发、燕郊转化“模式，激励引导各类企业与高校院所、先导型企业共建工程技术研究中心、重点实验室和产业技术联盟。</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绩效指标：年内新增规上工业企业、高新技术企业、科技型中小企业2</w:t>
      </w:r>
      <w:r>
        <w:rPr>
          <w:rFonts w:ascii="仿宋_GB2312" w:eastAsia="仿宋_GB2312" w:cs="Times New Roman"/>
          <w:sz w:val="32"/>
          <w:szCs w:val="32"/>
        </w:rPr>
        <w:t>0</w:t>
      </w:r>
      <w:r>
        <w:rPr>
          <w:rFonts w:hint="eastAsia" w:ascii="仿宋_GB2312" w:eastAsia="仿宋_GB2312" w:cs="Times New Roman"/>
          <w:sz w:val="32"/>
          <w:szCs w:val="32"/>
        </w:rPr>
        <w:t>家、3</w:t>
      </w:r>
      <w:r>
        <w:rPr>
          <w:rFonts w:ascii="仿宋_GB2312" w:eastAsia="仿宋_GB2312" w:cs="Times New Roman"/>
          <w:sz w:val="32"/>
          <w:szCs w:val="32"/>
        </w:rPr>
        <w:t>0</w:t>
      </w:r>
      <w:r>
        <w:rPr>
          <w:rFonts w:hint="eastAsia" w:ascii="仿宋_GB2312" w:eastAsia="仿宋_GB2312" w:cs="Times New Roman"/>
          <w:sz w:val="32"/>
          <w:szCs w:val="32"/>
        </w:rPr>
        <w:t>家、3</w:t>
      </w:r>
      <w:r>
        <w:rPr>
          <w:rFonts w:ascii="仿宋_GB2312" w:eastAsia="仿宋_GB2312" w:cs="Times New Roman"/>
          <w:sz w:val="32"/>
          <w:szCs w:val="32"/>
        </w:rPr>
        <w:t>00</w:t>
      </w:r>
      <w:r>
        <w:rPr>
          <w:rFonts w:hint="eastAsia" w:ascii="仿宋_GB2312" w:eastAsia="仿宋_GB2312" w:cs="Times New Roman"/>
          <w:sz w:val="32"/>
          <w:szCs w:val="32"/>
        </w:rPr>
        <w:t>家以上。</w:t>
      </w:r>
    </w:p>
    <w:p>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pPr>
        <w:spacing w:line="584"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1、实施协同发展跃升工程，主动融入通北一体化。一是</w:t>
      </w:r>
      <w:r>
        <w:rPr>
          <w:rFonts w:hint="eastAsia" w:ascii="仿宋_GB2312" w:hAnsi="仿宋_GB2312" w:eastAsia="仿宋_GB2312" w:cs="仿宋_GB2312"/>
          <w:b/>
          <w:sz w:val="32"/>
          <w:szCs w:val="32"/>
          <w:lang w:bidi="ar"/>
        </w:rPr>
        <w:t>坚持规划引领。</w:t>
      </w:r>
      <w:r>
        <w:rPr>
          <w:rFonts w:hint="eastAsia" w:ascii="仿宋_GB2312" w:hAnsi="仿宋_GB2312" w:eastAsia="仿宋_GB2312" w:cs="仿宋_GB2312"/>
          <w:sz w:val="32"/>
          <w:szCs w:val="32"/>
          <w:lang w:bidi="ar"/>
        </w:rPr>
        <w:t>推进协同发展规划、燕郊组团规划及相关专项规划落地实施，结合轨道交通建设，强力推进片区开发和城市更新；</w:t>
      </w:r>
      <w:r>
        <w:rPr>
          <w:rFonts w:hint="eastAsia" w:ascii="仿宋_GB2312" w:hAnsi="仿宋_GB2312" w:eastAsia="仿宋_GB2312" w:cs="仿宋_GB2312"/>
          <w:b/>
          <w:sz w:val="32"/>
          <w:szCs w:val="32"/>
          <w:lang w:bidi="ar"/>
        </w:rPr>
        <w:t>二是加快交通互联互通。</w:t>
      </w:r>
      <w:r>
        <w:rPr>
          <w:rFonts w:hint="eastAsia" w:ascii="仿宋_GB2312" w:hAnsi="仿宋_GB2312" w:eastAsia="仿宋_GB2312" w:cs="仿宋_GB2312"/>
          <w:sz w:val="32"/>
          <w:szCs w:val="32"/>
          <w:lang w:bidi="ar"/>
        </w:rPr>
        <w:t>全力推进轨道交通平谷线建设，加快推进神威北大街与北京姚家园路对接工程，积极推进京秦高速燕郊东互通工程，拉大燕郊东部交通框架；</w:t>
      </w:r>
      <w:r>
        <w:rPr>
          <w:rFonts w:hint="eastAsia" w:ascii="仿宋_GB2312" w:hAnsi="仿宋_GB2312" w:eastAsia="仿宋_GB2312" w:cs="仿宋_GB2312"/>
          <w:b/>
          <w:sz w:val="32"/>
          <w:szCs w:val="32"/>
          <w:lang w:bidi="ar"/>
        </w:rPr>
        <w:t>三是加强产业协同对接。</w:t>
      </w:r>
      <w:r>
        <w:rPr>
          <w:rFonts w:hint="eastAsia" w:ascii="仿宋_GB2312" w:hAnsi="仿宋_GB2312" w:eastAsia="仿宋_GB2312" w:cs="仿宋_GB2312"/>
          <w:sz w:val="32"/>
          <w:szCs w:val="32"/>
          <w:lang w:bidi="ar"/>
        </w:rPr>
        <w:t>扭住非首都核心功能疏解这个牛鼻子，重点围绕燕郊北部科学城建设，深入推进与中关村科技园区及各类专业园区合作，积极承接北京“摆不下、离不开、走不远”的电子信息、高端装备制造以及科技服务、总部经济、健康服务等现代服务业。</w:t>
      </w:r>
    </w:p>
    <w:p>
      <w:pPr>
        <w:spacing w:line="584" w:lineRule="exact"/>
        <w:ind w:firstLine="640" w:firstLineChars="200"/>
        <w:rPr>
          <w:rFonts w:ascii="仿宋_GB2312" w:hAnsi="Times New Roman" w:eastAsia="仿宋_GB2312" w:cs="Times New Roman"/>
          <w:sz w:val="32"/>
          <w:szCs w:val="32"/>
          <w:lang w:bidi="ar"/>
        </w:rPr>
      </w:pPr>
      <w:r>
        <w:rPr>
          <w:rFonts w:hint="eastAsia" w:ascii="仿宋_GB2312" w:eastAsia="仿宋_GB2312" w:cs="Times New Roman"/>
          <w:sz w:val="32"/>
          <w:szCs w:val="32"/>
        </w:rPr>
        <w:t>2、</w:t>
      </w:r>
      <w:r>
        <w:rPr>
          <w:rFonts w:hint="eastAsia" w:ascii="楷体_GB2312" w:hAnsi="楷体_GB2312" w:eastAsia="楷体_GB2312" w:cs="楷体_GB2312"/>
          <w:b/>
          <w:sz w:val="32"/>
          <w:szCs w:val="32"/>
          <w:lang w:bidi="ar"/>
        </w:rPr>
        <w:t>实施生态环境跃升工程，为经济发展保驾护航。</w:t>
      </w:r>
      <w:r>
        <w:rPr>
          <w:rFonts w:hint="eastAsia" w:ascii="仿宋_GB2312" w:hAnsi="楷体" w:eastAsia="仿宋_GB2312" w:cs="Times New Roman"/>
          <w:b/>
          <w:sz w:val="32"/>
          <w:szCs w:val="32"/>
          <w:lang w:bidi="ar"/>
        </w:rPr>
        <w:t>一是</w:t>
      </w:r>
      <w:r>
        <w:rPr>
          <w:rFonts w:hint="eastAsia" w:ascii="仿宋_GB2312" w:hAnsi="微软雅黑" w:eastAsia="仿宋_GB2312" w:cs="仿宋_GB2312"/>
          <w:b/>
          <w:sz w:val="32"/>
          <w:szCs w:val="32"/>
          <w:lang w:bidi="ar"/>
        </w:rPr>
        <w:t>突出精准治理，不断优化空气质量。</w:t>
      </w:r>
      <w:r>
        <w:rPr>
          <w:rFonts w:hint="eastAsia" w:ascii="仿宋_GB2312" w:hAnsi="Times New Roman" w:eastAsia="仿宋_GB2312" w:cs="Times New Roman"/>
          <w:sz w:val="32"/>
          <w:szCs w:val="32"/>
          <w:lang w:bidi="ar"/>
        </w:rPr>
        <w:t>强化</w:t>
      </w:r>
      <w:r>
        <w:rPr>
          <w:rFonts w:hint="eastAsia" w:ascii="仿宋_GB2312" w:hAnsi="Times New Roman" w:eastAsia="仿宋_GB2312" w:cs="Times New Roman"/>
          <w:bCs/>
          <w:sz w:val="32"/>
          <w:szCs w:val="32"/>
          <w:lang w:bidi="ar"/>
        </w:rPr>
        <w:t>大气污染防治，规范渣土车管理，进一步加强餐饮油烟和建筑工地扬尘管控力度，坚决打赢蓝天保卫战。</w:t>
      </w:r>
      <w:r>
        <w:rPr>
          <w:rFonts w:hint="eastAsia" w:ascii="仿宋_GB2312" w:hAnsi="Times New Roman" w:eastAsia="仿宋_GB2312" w:cs="Times New Roman"/>
          <w:b/>
          <w:sz w:val="32"/>
          <w:szCs w:val="32"/>
          <w:lang w:bidi="ar"/>
        </w:rPr>
        <w:t>二是</w:t>
      </w:r>
      <w:r>
        <w:rPr>
          <w:rFonts w:hint="eastAsia" w:ascii="仿宋_GB2312" w:hAnsi="微软雅黑" w:eastAsia="仿宋_GB2312" w:cs="仿宋_GB2312"/>
          <w:b/>
          <w:sz w:val="32"/>
          <w:szCs w:val="32"/>
          <w:lang w:bidi="ar"/>
        </w:rPr>
        <w:t>强化源头治理，着力提升水生态质量。</w:t>
      </w:r>
      <w:r>
        <w:rPr>
          <w:rFonts w:hint="eastAsia" w:ascii="仿宋_GB2312" w:hAnsi="Times New Roman" w:eastAsia="仿宋_GB2312" w:cs="Times New Roman"/>
          <w:bCs/>
          <w:sz w:val="32"/>
          <w:szCs w:val="32"/>
          <w:lang w:bidi="ar"/>
        </w:rPr>
        <w:t>全面实施燕郊海绵城市</w:t>
      </w:r>
      <w:r>
        <w:rPr>
          <w:rFonts w:hint="eastAsia" w:ascii="黑体" w:hAnsi="宋体" w:eastAsia="黑体" w:cs="黑体"/>
          <w:bCs/>
          <w:sz w:val="32"/>
          <w:szCs w:val="32"/>
          <w:lang w:bidi="ar"/>
        </w:rPr>
        <w:t>——</w:t>
      </w:r>
      <w:r>
        <w:rPr>
          <w:rFonts w:hint="eastAsia" w:ascii="仿宋_GB2312" w:hAnsi="Times New Roman" w:eastAsia="仿宋_GB2312" w:cs="Times New Roman"/>
          <w:bCs/>
          <w:sz w:val="32"/>
          <w:szCs w:val="32"/>
          <w:lang w:bidi="ar"/>
        </w:rPr>
        <w:t>合流制管网溢流污染控制工程PPP项目建设；加强对污水处理厂的运行监管，做到安全运行、达标排放；</w:t>
      </w:r>
      <w:r>
        <w:rPr>
          <w:rFonts w:hint="eastAsia" w:ascii="仿宋_GB2312" w:hAnsi="Times New Roman" w:eastAsia="仿宋_GB2312" w:cs="Times New Roman"/>
          <w:sz w:val="32"/>
          <w:szCs w:val="32"/>
          <w:lang w:bidi="ar"/>
        </w:rPr>
        <w:t>严格落实河长制，持续推进潮白河、尹家沟和幸福渠</w:t>
      </w:r>
      <w:r>
        <w:rPr>
          <w:rFonts w:hint="eastAsia" w:ascii="仿宋_GB2312" w:hAnsi="仿宋_GB2312" w:eastAsia="仿宋_GB2312" w:cs="仿宋_GB2312"/>
          <w:sz w:val="32"/>
          <w:szCs w:val="32"/>
          <w:shd w:val="clear" w:color="auto" w:fill="FFFFFF"/>
          <w:lang w:bidi="ar"/>
        </w:rPr>
        <w:t>河道治理</w:t>
      </w:r>
      <w:r>
        <w:rPr>
          <w:rFonts w:hint="eastAsia" w:ascii="仿宋_GB2312" w:hAnsi="Times New Roman" w:eastAsia="仿宋_GB2312" w:cs="Times New Roman"/>
          <w:sz w:val="32"/>
          <w:szCs w:val="32"/>
          <w:lang w:bidi="ar"/>
        </w:rPr>
        <w:t>，不断增添城市灵气。</w:t>
      </w:r>
      <w:r>
        <w:rPr>
          <w:rFonts w:hint="eastAsia" w:ascii="仿宋_GB2312" w:hAnsi="Times New Roman" w:eastAsia="仿宋_GB2312" w:cs="Times New Roman"/>
          <w:b/>
          <w:sz w:val="32"/>
          <w:szCs w:val="32"/>
          <w:lang w:bidi="ar"/>
        </w:rPr>
        <w:t>三是</w:t>
      </w:r>
      <w:r>
        <w:rPr>
          <w:rFonts w:hint="eastAsia" w:ascii="仿宋_GB2312" w:hAnsi="微软雅黑" w:eastAsia="仿宋_GB2312" w:cs="仿宋_GB2312"/>
          <w:b/>
          <w:sz w:val="32"/>
          <w:szCs w:val="32"/>
          <w:lang w:bidi="ar"/>
        </w:rPr>
        <w:t>着力打造精品，全面提升绿化亮化水平。</w:t>
      </w:r>
      <w:r>
        <w:rPr>
          <w:rFonts w:hint="eastAsia" w:ascii="仿宋_GB2312" w:hAnsi="Times New Roman" w:eastAsia="仿宋_GB2312" w:cs="Times New Roman"/>
          <w:sz w:val="32"/>
          <w:szCs w:val="32"/>
          <w:lang w:bidi="ar"/>
        </w:rPr>
        <w:t>在完成一批重点民生工程的同时，谋划建设一批口袋公园、街头游园，不断提升绿化、亮化档次和水平，营造舒适的人居环境。</w:t>
      </w:r>
    </w:p>
    <w:p>
      <w:pPr>
        <w:spacing w:line="584" w:lineRule="exact"/>
        <w:ind w:firstLine="640" w:firstLineChars="200"/>
        <w:rPr>
          <w:rFonts w:ascii="仿宋_GB2312" w:hAnsi="仿宋_GB2312" w:eastAsia="仿宋_GB2312" w:cs="仿宋_GB2312"/>
          <w:sz w:val="32"/>
          <w:szCs w:val="32"/>
          <w:lang w:bidi="ar"/>
        </w:rPr>
      </w:pPr>
      <w:r>
        <w:rPr>
          <w:rFonts w:hint="eastAsia" w:ascii="仿宋_GB2312" w:hAnsi="Times New Roman" w:eastAsia="仿宋_GB2312" w:cs="Times New Roman"/>
          <w:sz w:val="32"/>
          <w:szCs w:val="32"/>
          <w:lang w:bidi="ar"/>
        </w:rPr>
        <w:t>3、</w:t>
      </w:r>
      <w:r>
        <w:rPr>
          <w:rFonts w:hint="eastAsia" w:ascii="楷体_GB2312" w:hAnsi="楷体_GB2312" w:eastAsia="楷体_GB2312" w:cs="楷体_GB2312"/>
          <w:b/>
          <w:sz w:val="32"/>
          <w:szCs w:val="32"/>
          <w:lang w:bidi="ar"/>
        </w:rPr>
        <w:t>实施要素保障跃升工程，不断夯实发展基础。</w:t>
      </w:r>
      <w:r>
        <w:rPr>
          <w:rFonts w:hint="eastAsia" w:ascii="仿宋_GB2312" w:hAnsi="仿宋_GB2312" w:eastAsia="仿宋_GB2312" w:cs="仿宋_GB2312"/>
          <w:b/>
          <w:sz w:val="32"/>
          <w:szCs w:val="32"/>
          <w:lang w:bidi="ar"/>
        </w:rPr>
        <w:t>一是有效破解土地瓶颈制约。</w:t>
      </w:r>
      <w:r>
        <w:rPr>
          <w:rFonts w:hint="eastAsia" w:ascii="仿宋_GB2312" w:hAnsi="仿宋_GB2312" w:eastAsia="仿宋_GB2312" w:cs="仿宋_GB2312"/>
          <w:sz w:val="32"/>
          <w:szCs w:val="32"/>
          <w:lang w:bidi="ar"/>
        </w:rPr>
        <w:t>一方面，启动神威片区城市更新项目和北部科学城起步区的片区开发工作，为项目建设提供发展空间；另一方面，对部分企业的低效用地实施挂账管理</w:t>
      </w:r>
      <w:r>
        <w:rPr>
          <w:rFonts w:hint="eastAsia" w:ascii="仿宋_GB2312" w:hAnsi="楷体_GB2312" w:eastAsia="仿宋_GB2312" w:cs="楷体_GB2312"/>
          <w:bCs/>
          <w:sz w:val="32"/>
          <w:szCs w:val="32"/>
          <w:lang w:bidi="ar"/>
        </w:rPr>
        <w:t>，</w:t>
      </w:r>
      <w:r>
        <w:rPr>
          <w:rFonts w:hint="eastAsia" w:ascii="仿宋_GB2312" w:hAnsi="仿宋_GB2312" w:eastAsia="仿宋_GB2312" w:cs="仿宋_GB2312"/>
          <w:sz w:val="32"/>
          <w:szCs w:val="32"/>
          <w:lang w:bidi="ar"/>
        </w:rPr>
        <w:t>采取“退二进三”“退二优二”“协商收回”等方式，力促低效用地得到充分盘活，全力做好“腾笼换凤”，最大限度提高产出效益。</w:t>
      </w:r>
      <w:r>
        <w:rPr>
          <w:rFonts w:hint="eastAsia" w:ascii="仿宋_GB2312" w:hAnsi="仿宋_GB2312" w:eastAsia="仿宋_GB2312" w:cs="仿宋_GB2312"/>
          <w:b/>
          <w:sz w:val="32"/>
          <w:szCs w:val="32"/>
          <w:lang w:bidi="ar"/>
        </w:rPr>
        <w:t>二是集聚高层次创新创业人才。</w:t>
      </w:r>
      <w:r>
        <w:rPr>
          <w:rFonts w:hint="eastAsia" w:ascii="仿宋_GB2312" w:hAnsi="仿宋_GB2312" w:eastAsia="仿宋_GB2312" w:cs="仿宋_GB2312"/>
          <w:sz w:val="32"/>
          <w:szCs w:val="32"/>
          <w:lang w:bidi="ar"/>
        </w:rPr>
        <w:t>打造省级人力资源产业园，引进专业机构参与人力资源产业园管理，建立人才专家数据库，采取政府引导、高校合作、市场运作等方式，为园区发展提供坚强人力资源保障。</w:t>
      </w:r>
      <w:r>
        <w:rPr>
          <w:rFonts w:hint="eastAsia" w:ascii="仿宋_GB2312" w:hAnsi="仿宋_GB2312" w:eastAsia="仿宋_GB2312" w:cs="仿宋_GB2312"/>
          <w:b/>
          <w:sz w:val="32"/>
          <w:szCs w:val="32"/>
          <w:lang w:bidi="ar"/>
        </w:rPr>
        <w:t>三是强化资金支持力度。</w:t>
      </w:r>
      <w:r>
        <w:rPr>
          <w:rFonts w:hint="eastAsia" w:ascii="仿宋_GB2312" w:hAnsi="仿宋_GB2312" w:eastAsia="仿宋_GB2312" w:cs="仿宋_GB2312"/>
          <w:sz w:val="32"/>
          <w:szCs w:val="32"/>
          <w:lang w:bidi="ar"/>
        </w:rPr>
        <w:t>抢抓中央投资、地方政府专项债券等政策机遇，重点谋划储备一批“两新一重”等符合国家投资方向的优质项目，最大限度争取资金支持；加快高新区投融资平台建设，充分发挥国有资产的引领撬动作用，以土地、市场等资源多元化吸纳社会投资，有效改变依靠政府财政为主进行基础设施建设的现状，提升市场化运营能力。</w:t>
      </w:r>
    </w:p>
    <w:p>
      <w:pPr>
        <w:spacing w:line="584" w:lineRule="exact"/>
        <w:ind w:firstLine="640" w:firstLineChars="200"/>
        <w:rPr>
          <w:rFonts w:ascii="仿宋_GB2312" w:hAnsi="Times New Roman" w:eastAsia="仿宋_GB2312" w:cs="Times New Roman"/>
          <w:sz w:val="32"/>
          <w:szCs w:val="32"/>
          <w:lang w:bidi="ar"/>
        </w:rPr>
      </w:pPr>
      <w:r>
        <w:rPr>
          <w:rFonts w:hint="eastAsia" w:ascii="仿宋_GB2312" w:hAnsi="仿宋_GB2312" w:eastAsia="仿宋_GB2312" w:cs="仿宋_GB2312"/>
          <w:sz w:val="32"/>
          <w:szCs w:val="32"/>
          <w:lang w:bidi="ar"/>
        </w:rPr>
        <w:t>4、</w:t>
      </w:r>
      <w:r>
        <w:rPr>
          <w:rFonts w:hint="eastAsia" w:ascii="楷体_GB2312" w:hAnsi="楷体_GB2312" w:eastAsia="楷体_GB2312" w:cs="楷体_GB2312"/>
          <w:b/>
          <w:sz w:val="32"/>
          <w:szCs w:val="32"/>
          <w:lang w:bidi="ar"/>
        </w:rPr>
        <w:t>实施社会治理跃升工程，营造和谐稳定环境。</w:t>
      </w:r>
      <w:r>
        <w:rPr>
          <w:rFonts w:hint="eastAsia" w:ascii="仿宋_GB2312" w:hAnsi="仿宋_GB2312" w:eastAsia="仿宋_GB2312" w:cs="仿宋_GB2312"/>
          <w:b/>
          <w:sz w:val="32"/>
          <w:szCs w:val="32"/>
          <w:lang w:bidi="ar"/>
        </w:rPr>
        <w:t>一是做好常态化疫情防控</w:t>
      </w:r>
      <w:r>
        <w:rPr>
          <w:rFonts w:hint="eastAsia" w:ascii="仿宋_GB2312" w:hAnsi="仿宋_GB2312" w:eastAsia="仿宋_GB2312" w:cs="仿宋_GB2312"/>
          <w:bCs/>
          <w:sz w:val="32"/>
          <w:szCs w:val="32"/>
          <w:lang w:bidi="ar"/>
        </w:rPr>
        <w:t>。按照“外防输入、内防反弹”的要求，充分发挥网格组作用，把疫情防控中形成的好经验、好做法坚持下去，落地落实各项常态化防控措施，不断巩固疫情防控成果。</w:t>
      </w:r>
      <w:r>
        <w:rPr>
          <w:rFonts w:hint="eastAsia" w:ascii="仿宋_GB2312" w:hAnsi="Times New Roman" w:eastAsia="仿宋_GB2312" w:cs="Times New Roman"/>
          <w:b/>
          <w:sz w:val="32"/>
          <w:szCs w:val="32"/>
          <w:lang w:bidi="ar"/>
        </w:rPr>
        <w:t>二是牢固树立安全发展理念</w:t>
      </w:r>
      <w:r>
        <w:rPr>
          <w:rFonts w:hint="eastAsia" w:ascii="仿宋_GB2312" w:hAnsi="Times New Roman" w:eastAsia="仿宋_GB2312" w:cs="Times New Roman"/>
          <w:sz w:val="32"/>
          <w:szCs w:val="32"/>
          <w:lang w:bidi="ar"/>
        </w:rPr>
        <w:t>。严格落实党政同责，一岗双责，强化部门监管，压实企业主体责任，深入开展安全生产专项整治三年行动，不断推进“双控”机制建设，防范遏制各类安全事故发生。</w:t>
      </w:r>
      <w:r>
        <w:rPr>
          <w:rFonts w:hint="eastAsia" w:ascii="仿宋_GB2312" w:hAnsi="Times New Roman" w:eastAsia="仿宋_GB2312" w:cs="Times New Roman"/>
          <w:b/>
          <w:sz w:val="32"/>
          <w:szCs w:val="32"/>
          <w:lang w:bidi="ar"/>
        </w:rPr>
        <w:t>三是维护信访稳定。</w:t>
      </w:r>
      <w:r>
        <w:rPr>
          <w:rFonts w:hint="eastAsia" w:ascii="仿宋_GB2312" w:hAnsi="Times New Roman" w:eastAsia="仿宋_GB2312" w:cs="Times New Roman"/>
          <w:sz w:val="32"/>
          <w:szCs w:val="32"/>
          <w:lang w:bidi="ar"/>
        </w:rPr>
        <w:t>坚持领导班子成员带头接访下访、包案督访，注重源头预防，加强隐患排查，健全化解机制，确保社会和谐稳定。</w:t>
      </w:r>
    </w:p>
    <w:p>
      <w:pPr>
        <w:spacing w:line="584" w:lineRule="exact"/>
        <w:ind w:firstLine="640" w:firstLineChars="200"/>
        <w:rPr>
          <w:rFonts w:ascii="仿宋_GB2312" w:hAnsi="仿宋_GB2312" w:eastAsia="仿宋_GB2312" w:cs="仿宋_GB2312"/>
          <w:sz w:val="32"/>
          <w:szCs w:val="32"/>
          <w:lang w:bidi="ar"/>
        </w:rPr>
      </w:pPr>
      <w:r>
        <w:rPr>
          <w:rFonts w:hint="eastAsia" w:ascii="仿宋_GB2312" w:hAnsi="Times New Roman" w:eastAsia="仿宋_GB2312" w:cs="Times New Roman"/>
          <w:sz w:val="32"/>
          <w:szCs w:val="32"/>
          <w:lang w:bidi="ar"/>
        </w:rPr>
        <w:t>5、</w:t>
      </w:r>
      <w:r>
        <w:rPr>
          <w:rFonts w:hint="eastAsia" w:ascii="楷体_GB2312" w:hAnsi="楷体_GB2312" w:eastAsia="楷体_GB2312" w:cs="楷体_GB2312"/>
          <w:b/>
          <w:sz w:val="32"/>
          <w:szCs w:val="32"/>
          <w:lang w:bidi="ar"/>
        </w:rPr>
        <w:t>实施行政效能跃升工程，营造一流营商环境。</w:t>
      </w:r>
      <w:r>
        <w:rPr>
          <w:rFonts w:hint="eastAsia" w:ascii="仿宋_GB2312" w:hAnsi="仿宋_GB2312" w:eastAsia="仿宋_GB2312" w:cs="仿宋_GB2312"/>
          <w:b/>
          <w:sz w:val="32"/>
          <w:szCs w:val="32"/>
          <w:lang w:bidi="ar"/>
        </w:rPr>
        <w:t>一是开创工作新路径。</w:t>
      </w:r>
      <w:r>
        <w:rPr>
          <w:rFonts w:hint="eastAsia" w:ascii="仿宋_GB2312" w:hAnsi="仿宋_GB2312" w:eastAsia="仿宋_GB2312" w:cs="仿宋_GB2312"/>
          <w:sz w:val="32"/>
          <w:szCs w:val="32"/>
          <w:lang w:bidi="ar"/>
        </w:rPr>
        <w:t>创新工作模式，成立公共服务设施配套建设、招商引资、要素保障、项目模拟审批及审批代办、项目评审考核5个园区发展工作专班，坚持一个专班、一位领导、一套人马、一个方案，拉单列表、协同作战，在项目建设、土地集约高效利用、优化营商环境等方面精准发力，推动高新区在“二次创业”的征程中高速前进。</w:t>
      </w:r>
      <w:r>
        <w:rPr>
          <w:rFonts w:hint="eastAsia" w:ascii="仿宋_GB2312" w:hAnsi="仿宋_GB2312" w:eastAsia="仿宋_GB2312" w:cs="仿宋_GB2312"/>
          <w:b/>
          <w:sz w:val="32"/>
          <w:szCs w:val="32"/>
          <w:lang w:bidi="ar"/>
        </w:rPr>
        <w:t>二是健全完善</w:t>
      </w:r>
      <w:r>
        <w:rPr>
          <w:rFonts w:hint="eastAsia" w:ascii="仿宋_GB2312" w:hAnsi="Times New Roman" w:eastAsia="仿宋_GB2312" w:cs="Times New Roman"/>
          <w:b/>
          <w:sz w:val="32"/>
          <w:szCs w:val="32"/>
          <w:lang w:bidi="ar"/>
        </w:rPr>
        <w:t>激励机制。</w:t>
      </w:r>
      <w:r>
        <w:rPr>
          <w:rFonts w:hint="eastAsia" w:ascii="仿宋_GB2312" w:hAnsi="Times New Roman" w:eastAsia="仿宋_GB2312" w:cs="Times New Roman"/>
          <w:bCs/>
          <w:sz w:val="32"/>
          <w:szCs w:val="32"/>
          <w:lang w:bidi="ar"/>
        </w:rPr>
        <w:t>规范全员绩效考核体系，</w:t>
      </w:r>
      <w:r>
        <w:rPr>
          <w:rFonts w:hint="eastAsia" w:ascii="仿宋_GB2312" w:hAnsi="Times New Roman" w:eastAsia="仿宋_GB2312" w:cs="Times New Roman"/>
          <w:sz w:val="32"/>
          <w:szCs w:val="32"/>
          <w:lang w:bidi="ar"/>
        </w:rPr>
        <w:t>进一步科学设置指标，规范过程管理，抓好结果运用。通过绩效考核，充分激发园区广大干部职工抓“主责、主业”的积极性和创造性。</w:t>
      </w:r>
      <w:r>
        <w:rPr>
          <w:rFonts w:hint="eastAsia" w:ascii="仿宋_GB2312" w:hAnsi="Times New Roman" w:eastAsia="仿宋_GB2312" w:cs="Times New Roman"/>
          <w:b/>
          <w:sz w:val="32"/>
          <w:szCs w:val="32"/>
          <w:lang w:bidi="ar"/>
        </w:rPr>
        <w:t>三是提升服务企业能力。</w:t>
      </w:r>
      <w:r>
        <w:rPr>
          <w:rFonts w:hint="eastAsia" w:ascii="仿宋_GB2312" w:hAnsi="??" w:eastAsia="仿宋_GB2312" w:cs="Times New Roman"/>
          <w:bCs/>
          <w:sz w:val="32"/>
          <w:szCs w:val="32"/>
          <w:lang w:bidi="ar"/>
        </w:rPr>
        <w:t>启动园区封闭管理模式，规范有关部门对区内企业的服务、检查、收费等行为，减少企业生产经营活动的外部干扰；进一步发挥企业网格组包联服务作用，当好企业的“家庭医生”，随时联系沟通，定期问诊把脉，通过网格组组长集中会商、领导班子专题研究，对共性问题集中解决，个性问题专项化解，构建亲清新型政商关系</w:t>
      </w:r>
      <w:r>
        <w:rPr>
          <w:rFonts w:hint="eastAsia" w:ascii="仿宋_GB2312" w:hAnsi="Times New Roman" w:eastAsia="仿宋_GB2312" w:cs="Times New Roman"/>
          <w:sz w:val="32"/>
          <w:szCs w:val="32"/>
          <w:lang w:bidi="ar"/>
        </w:rPr>
        <w:t>。</w:t>
      </w:r>
      <w:r>
        <w:rPr>
          <w:rFonts w:hint="eastAsia" w:ascii="仿宋_GB2312" w:hAnsi="Times New Roman" w:eastAsia="仿宋_GB2312" w:cs="Times New Roman"/>
          <w:b/>
          <w:sz w:val="32"/>
          <w:szCs w:val="32"/>
          <w:lang w:bidi="ar"/>
        </w:rPr>
        <w:t>四是全面提高行政审批效率。</w:t>
      </w:r>
      <w:r>
        <w:rPr>
          <w:rFonts w:hint="eastAsia" w:ascii="仿宋_GB2312" w:hAnsi="Times New Roman" w:eastAsia="仿宋_GB2312" w:cs="Times New Roman"/>
          <w:sz w:val="32"/>
          <w:szCs w:val="32"/>
          <w:lang w:bidi="ar"/>
        </w:rPr>
        <w:t>充分发挥高新区行政审批局作用，常态化应用7项区域评估成果，在联合验收阶段尝试容缺预审，提前介入、主动服务；建立帮办、代办体系，推行“两不见面”服务</w:t>
      </w:r>
      <w:r>
        <w:rPr>
          <w:rFonts w:hint="eastAsia" w:ascii="仿宋_GB2312" w:hAnsi="仿宋_GB2312" w:eastAsia="仿宋_GB2312" w:cs="仿宋_GB2312"/>
          <w:sz w:val="32"/>
          <w:szCs w:val="32"/>
          <w:lang w:bidi="ar"/>
        </w:rPr>
        <w:t>，努力实现产业项目供地即开工。</w:t>
      </w:r>
    </w:p>
    <w:p>
      <w:pPr>
        <w:spacing w:line="584"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6、</w:t>
      </w:r>
      <w:r>
        <w:rPr>
          <w:rFonts w:hint="eastAsia" w:ascii="楷体_GB2312" w:hAnsi="楷体_GB2312" w:eastAsia="楷体_GB2312" w:cs="楷体_GB2312"/>
          <w:b/>
          <w:sz w:val="32"/>
          <w:szCs w:val="32"/>
          <w:lang w:bidi="ar"/>
        </w:rPr>
        <w:t>实施党的建设跃升工程，永葆干部队伍活力。</w:t>
      </w:r>
      <w:r>
        <w:rPr>
          <w:rFonts w:hint="eastAsia" w:ascii="仿宋_GB2312" w:hAnsi="Times New Roman" w:eastAsia="仿宋_GB2312" w:cs="Times New Roman"/>
          <w:sz w:val="32"/>
          <w:szCs w:val="32"/>
          <w:lang w:bidi="ar"/>
        </w:rPr>
        <w:t>按照“围绕发展抓党建、抓好党建促发展”的工作思路，以“三基建设年”活动为抓手，将党建工作转化为“看得见、摸得着”的先进生产力。</w:t>
      </w:r>
      <w:r>
        <w:rPr>
          <w:rFonts w:hint="eastAsia" w:ascii="仿宋_GB2312" w:hAnsi="Times New Roman" w:eastAsia="仿宋_GB2312" w:cs="Times New Roman"/>
          <w:b/>
          <w:sz w:val="32"/>
          <w:szCs w:val="32"/>
          <w:lang w:bidi="ar"/>
        </w:rPr>
        <w:t>一是突出政治引领。</w:t>
      </w:r>
      <w:r>
        <w:rPr>
          <w:rFonts w:hint="eastAsia" w:ascii="仿宋_GB2312" w:hAnsi="Times New Roman" w:eastAsia="仿宋_GB2312" w:cs="Times New Roman"/>
          <w:sz w:val="32"/>
          <w:szCs w:val="32"/>
          <w:lang w:bidi="ar"/>
        </w:rPr>
        <w:t>坚持以政治建设为统领，坚决贯彻执行党中央决策部署以及上级党组织的决定，开展好党史学习教育，在全区形成学史明理、学史增信、学史崇德、学史力行的浓厚氛围，切实做到学党史、悟思想、办实事、开新局；着眼时代发展的新变化、新需求，严格落实党工委意识形态工作责任制，借助互联网、融媒体等平台，以凝聚人心、鼓舞信心的主流思想舆论，筑牢意识形态领域主阵地。</w:t>
      </w:r>
      <w:r>
        <w:rPr>
          <w:rFonts w:hint="eastAsia" w:ascii="仿宋_GB2312" w:hAnsi="Times New Roman" w:eastAsia="仿宋_GB2312" w:cs="Times New Roman"/>
          <w:b/>
          <w:sz w:val="32"/>
          <w:szCs w:val="32"/>
          <w:lang w:bidi="ar"/>
        </w:rPr>
        <w:t>二是构建“1+1+5”党建服务集群。</w:t>
      </w:r>
      <w:r>
        <w:rPr>
          <w:rFonts w:hint="eastAsia" w:ascii="仿宋_GB2312" w:hAnsi="Times New Roman" w:eastAsia="仿宋_GB2312" w:cs="Times New Roman"/>
          <w:sz w:val="32"/>
          <w:szCs w:val="32"/>
          <w:lang w:bidi="ar"/>
        </w:rPr>
        <w:t>建立1个党员活动服务中心，对党组织建设进行日常指导和管理，打造非公企业党建核心阵地；打造1个党群服务基地，依托人力资源产业园，建立“园区党组织结对共建、创争互促”运行机制，使园区建设与党建工作同步规划、同步推进、同步见效、同步提升；培树以“党建+文化”“党建＋服务”“党建+智慧社区”“党建+研发”“党建+健康”为核心的5个非公企业党建示范点，不断扩大党组织工作覆盖面,构建行业引领、网格指导、集中服务的党建工作新模式。</w:t>
      </w:r>
      <w:r>
        <w:rPr>
          <w:rFonts w:hint="eastAsia" w:ascii="仿宋_GB2312" w:hAnsi="Times New Roman" w:eastAsia="仿宋_GB2312" w:cs="Times New Roman"/>
          <w:b/>
          <w:sz w:val="32"/>
          <w:szCs w:val="32"/>
          <w:lang w:bidi="ar"/>
        </w:rPr>
        <w:t>三是加强干部队伍建设。</w:t>
      </w:r>
      <w:r>
        <w:rPr>
          <w:rFonts w:hint="eastAsia" w:ascii="仿宋_GB2312" w:hAnsi="Times New Roman" w:eastAsia="仿宋_GB2312" w:cs="Times New Roman"/>
          <w:sz w:val="32"/>
          <w:szCs w:val="32"/>
          <w:lang w:bidi="ar"/>
        </w:rPr>
        <w:t>坚持党管干部原则，真正把能干事、干成事的干部考准考实，进一步激励引导广大干部以更好的状态、更实的作风投入到高新区的建设发展上来；切实加强对下属企业资产和人员的管理，规范企业经营行为，着力构建现代企业管理制度和监管体系；举办“创新燕郊大讲堂”，聘请国家级知名专家学者、行业领军人物，对高新区干部职工、产业园和企业负责人进行线上、线下培训，提升全员能力素质。</w:t>
      </w:r>
      <w:r>
        <w:rPr>
          <w:rFonts w:hint="eastAsia" w:ascii="仿宋_GB2312" w:hAnsi="仿宋_GB2312" w:eastAsia="仿宋_GB2312" w:cs="仿宋_GB2312"/>
          <w:b/>
          <w:sz w:val="32"/>
          <w:szCs w:val="32"/>
          <w:lang w:bidi="ar"/>
        </w:rPr>
        <w:t>四是加强党风廉政建设。</w:t>
      </w:r>
      <w:r>
        <w:rPr>
          <w:rFonts w:hint="eastAsia" w:ascii="仿宋_GB2312" w:hAnsi="仿宋_GB2312" w:eastAsia="仿宋_GB2312" w:cs="仿宋_GB2312"/>
          <w:sz w:val="32"/>
          <w:szCs w:val="32"/>
          <w:lang w:bidi="ar"/>
        </w:rPr>
        <w:t>坚决扛牢全面从严治党主体责任，认真履行“一岗双责”。深入贯彻中央八项规定及其实施细则，持之以恒纠“四风”、正作风。强化廉政宣传和警示教育，加强对各类违规违纪行为的查处曝光和警示震慑力度，切实让广大党员干部知敬畏、存戒惧、守底线。</w:t>
      </w:r>
    </w:p>
    <w:p>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（四）部门整体支出绩效指标</w:t>
      </w:r>
    </w:p>
    <w:tbl>
      <w:tblPr>
        <w:tblStyle w:val="10"/>
        <w:tblW w:w="141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861"/>
        <w:gridCol w:w="898"/>
        <w:gridCol w:w="1770"/>
        <w:gridCol w:w="1140"/>
        <w:gridCol w:w="4305"/>
        <w:gridCol w:w="920"/>
        <w:gridCol w:w="1090"/>
        <w:gridCol w:w="1921"/>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26" w:hRule="atLeast"/>
          <w:tblHeader/>
          <w:jc w:val="center"/>
        </w:trPr>
        <w:tc>
          <w:tcPr>
            <w:tcW w:w="861"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一级指标</w:t>
            </w:r>
          </w:p>
        </w:tc>
        <w:tc>
          <w:tcPr>
            <w:tcW w:w="898"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二级</w:t>
            </w:r>
          </w:p>
          <w:p>
            <w:pPr>
              <w:widowControl/>
              <w:adjustRightInd w:val="0"/>
              <w:snapToGrid w:val="0"/>
              <w:jc w:val="center"/>
              <w:rPr>
                <w:rFonts w:ascii="方正书宋_GBK" w:eastAsia="方正书宋_GBK"/>
                <w:b/>
              </w:rPr>
            </w:pPr>
            <w:r>
              <w:rPr>
                <w:rFonts w:ascii="方正书宋_GBK" w:eastAsia="方正书宋_GBK"/>
                <w:b/>
              </w:rPr>
              <w:t>指标</w:t>
            </w:r>
          </w:p>
        </w:tc>
        <w:tc>
          <w:tcPr>
            <w:tcW w:w="1770"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三级</w:t>
            </w:r>
          </w:p>
          <w:p>
            <w:pPr>
              <w:widowControl/>
              <w:adjustRightInd w:val="0"/>
              <w:snapToGrid w:val="0"/>
              <w:jc w:val="center"/>
              <w:rPr>
                <w:rFonts w:ascii="方正书宋_GBK" w:eastAsia="方正书宋_GBK"/>
                <w:b/>
              </w:rPr>
            </w:pPr>
            <w:r>
              <w:rPr>
                <w:rFonts w:ascii="方正书宋_GBK" w:eastAsia="方正书宋_GBK"/>
                <w:b/>
              </w:rPr>
              <w:t>指标</w:t>
            </w:r>
          </w:p>
        </w:tc>
        <w:tc>
          <w:tcPr>
            <w:tcW w:w="1140"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评（扣）分标准</w:t>
            </w:r>
          </w:p>
        </w:tc>
        <w:tc>
          <w:tcPr>
            <w:tcW w:w="4305"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绩效指标</w:t>
            </w:r>
          </w:p>
          <w:p>
            <w:pPr>
              <w:widowControl/>
              <w:adjustRightInd w:val="0"/>
              <w:snapToGrid w:val="0"/>
              <w:jc w:val="center"/>
              <w:rPr>
                <w:rFonts w:ascii="方正书宋_GBK" w:eastAsia="方正书宋_GBK"/>
                <w:b/>
              </w:rPr>
            </w:pPr>
            <w:r>
              <w:rPr>
                <w:rFonts w:ascii="方正书宋_GBK" w:eastAsia="方正书宋_GBK"/>
                <w:b/>
              </w:rPr>
              <w:t>描述</w:t>
            </w:r>
          </w:p>
        </w:tc>
        <w:tc>
          <w:tcPr>
            <w:tcW w:w="3931" w:type="dxa"/>
            <w:gridSpan w:val="3"/>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指标值</w:t>
            </w:r>
          </w:p>
        </w:tc>
        <w:tc>
          <w:tcPr>
            <w:tcW w:w="1231" w:type="dxa"/>
            <w:vMerge w:val="restart"/>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指标值</w:t>
            </w:r>
          </w:p>
          <w:p>
            <w:pPr>
              <w:widowControl/>
              <w:adjustRightInd w:val="0"/>
              <w:snapToGrid w:val="0"/>
              <w:jc w:val="center"/>
              <w:rPr>
                <w:rFonts w:ascii="方正书宋_GBK" w:eastAsia="方正书宋_GBK"/>
                <w:b/>
              </w:rPr>
            </w:pPr>
            <w:r>
              <w:rPr>
                <w:rFonts w:ascii="方正书宋_GBK" w:eastAsia="方正书宋_GBK"/>
                <w:b/>
              </w:rPr>
              <w:t>确定依据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33" w:hRule="atLeast"/>
          <w:tblHeader/>
          <w:jc w:val="center"/>
        </w:trPr>
        <w:tc>
          <w:tcPr>
            <w:tcW w:w="861" w:type="dxa"/>
            <w:vMerge w:val="continue"/>
            <w:tcBorders>
              <w:tl2br w:val="nil"/>
              <w:tr2bl w:val="nil"/>
            </w:tcBorders>
            <w:vAlign w:val="center"/>
          </w:tcPr>
          <w:p/>
        </w:tc>
        <w:tc>
          <w:tcPr>
            <w:tcW w:w="898" w:type="dxa"/>
            <w:vMerge w:val="continue"/>
            <w:tcBorders>
              <w:tl2br w:val="nil"/>
              <w:tr2bl w:val="nil"/>
            </w:tcBorders>
            <w:vAlign w:val="center"/>
          </w:tcPr>
          <w:p/>
        </w:tc>
        <w:tc>
          <w:tcPr>
            <w:tcW w:w="1770" w:type="dxa"/>
            <w:vMerge w:val="continue"/>
            <w:tcBorders>
              <w:tl2br w:val="nil"/>
              <w:tr2bl w:val="nil"/>
            </w:tcBorders>
            <w:vAlign w:val="center"/>
          </w:tcPr>
          <w:p/>
        </w:tc>
        <w:tc>
          <w:tcPr>
            <w:tcW w:w="1140" w:type="dxa"/>
            <w:vMerge w:val="continue"/>
            <w:tcBorders>
              <w:tl2br w:val="nil"/>
              <w:tr2bl w:val="nil"/>
            </w:tcBorders>
            <w:vAlign w:val="center"/>
          </w:tcPr>
          <w:p/>
        </w:tc>
        <w:tc>
          <w:tcPr>
            <w:tcW w:w="4305" w:type="dxa"/>
            <w:vMerge w:val="continue"/>
            <w:tcBorders>
              <w:tl2br w:val="nil"/>
              <w:tr2bl w:val="nil"/>
            </w:tcBorders>
            <w:vAlign w:val="center"/>
          </w:tcPr>
          <w:p/>
        </w:tc>
        <w:tc>
          <w:tcPr>
            <w:tcW w:w="920" w:type="dxa"/>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符号</w:t>
            </w:r>
          </w:p>
        </w:tc>
        <w:tc>
          <w:tcPr>
            <w:tcW w:w="1090" w:type="dxa"/>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值</w:t>
            </w:r>
          </w:p>
        </w:tc>
        <w:tc>
          <w:tcPr>
            <w:tcW w:w="1921" w:type="dxa"/>
            <w:tcBorders>
              <w:tl2br w:val="nil"/>
              <w:tr2bl w:val="nil"/>
            </w:tcBorders>
            <w:vAlign w:val="center"/>
          </w:tcPr>
          <w:p>
            <w:pPr>
              <w:widowControl/>
              <w:adjustRightInd w:val="0"/>
              <w:snapToGrid w:val="0"/>
              <w:jc w:val="center"/>
              <w:rPr>
                <w:rFonts w:ascii="方正书宋_GBK" w:eastAsia="方正书宋_GBK"/>
                <w:b/>
              </w:rPr>
            </w:pPr>
            <w:r>
              <w:rPr>
                <w:rFonts w:ascii="方正书宋_GBK" w:eastAsia="方正书宋_GBK"/>
                <w:b/>
              </w:rPr>
              <w:t>单位</w:t>
            </w:r>
          </w:p>
        </w:tc>
        <w:tc>
          <w:tcPr>
            <w:tcW w:w="1231"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594" w:hRule="atLeast"/>
          <w:jc w:val="center"/>
        </w:trPr>
        <w:tc>
          <w:tcPr>
            <w:tcW w:w="861" w:type="dxa"/>
            <w:vMerge w:val="restart"/>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部门产出</w:t>
            </w: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数量</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数量指标</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20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业务处理及时率</w:t>
            </w:r>
          </w:p>
        </w:tc>
        <w:tc>
          <w:tcPr>
            <w:tcW w:w="92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09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100.00</w:t>
            </w: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维修单反馈单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4" w:hRule="atLeast"/>
          <w:jc w:val="center"/>
        </w:trPr>
        <w:tc>
          <w:tcPr>
            <w:tcW w:w="861" w:type="dxa"/>
            <w:vMerge w:val="continue"/>
            <w:tcBorders>
              <w:tl2br w:val="nil"/>
              <w:tr2bl w:val="nil"/>
            </w:tcBorders>
            <w:vAlign w:val="center"/>
          </w:tcP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质量</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质量指标</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20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正常运转率</w:t>
            </w:r>
          </w:p>
        </w:tc>
        <w:tc>
          <w:tcPr>
            <w:tcW w:w="92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09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100.00</w:t>
            </w: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458" w:hRule="atLeast"/>
          <w:jc w:val="center"/>
        </w:trPr>
        <w:tc>
          <w:tcPr>
            <w:tcW w:w="861" w:type="dxa"/>
            <w:vMerge w:val="continue"/>
            <w:tcBorders>
              <w:tl2br w:val="nil"/>
              <w:tr2bl w:val="nil"/>
            </w:tcBorders>
            <w:vAlign w:val="center"/>
          </w:tcP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时效</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工作完成及时率</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10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反映工作完成及时率</w:t>
            </w:r>
          </w:p>
        </w:tc>
        <w:tc>
          <w:tcPr>
            <w:tcW w:w="92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09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100.00</w:t>
            </w: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工作计划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4" w:hRule="atLeast"/>
          <w:jc w:val="center"/>
        </w:trPr>
        <w:tc>
          <w:tcPr>
            <w:tcW w:w="861" w:type="dxa"/>
            <w:vMerge w:val="continue"/>
            <w:tcBorders>
              <w:tl2br w:val="nil"/>
              <w:tr2bl w:val="nil"/>
            </w:tcBorders>
            <w:vAlign w:val="center"/>
          </w:tcP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成本</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预算控制数</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10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成本控制在预算额度内</w:t>
            </w:r>
          </w:p>
        </w:tc>
        <w:tc>
          <w:tcPr>
            <w:tcW w:w="92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09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12.00</w:t>
            </w: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亿</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工作计划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4" w:hRule="atLeast"/>
          <w:jc w:val="center"/>
        </w:trPr>
        <w:tc>
          <w:tcPr>
            <w:tcW w:w="861" w:type="dxa"/>
            <w:vMerge w:val="restart"/>
            <w:tcBorders>
              <w:tl2br w:val="nil"/>
              <w:tr2bl w:val="nil"/>
            </w:tcBorders>
            <w:vAlign w:val="center"/>
          </w:tcPr>
          <w:p>
            <w:pPr>
              <w:adjustRightInd w:val="0"/>
              <w:snapToGrid w:val="0"/>
              <w:jc w:val="center"/>
              <w:rPr>
                <w:rFonts w:ascii="方正书宋_GBK" w:eastAsia="方正书宋_GBK"/>
              </w:rPr>
            </w:pPr>
            <w:r>
              <w:rPr>
                <w:rFonts w:ascii="方正书宋_GBK" w:eastAsia="方正书宋_GBK"/>
              </w:rPr>
              <w:t>部门</w:t>
            </w:r>
            <w:r>
              <w:rPr>
                <w:rFonts w:hint="eastAsia" w:ascii="方正书宋_GBK" w:eastAsia="方正书宋_GBK"/>
              </w:rPr>
              <w:t>效果</w:t>
            </w: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ascii="方正书宋_GBK" w:eastAsia="方正书宋_GBK"/>
              </w:rPr>
              <w:t>社会</w:t>
            </w:r>
          </w:p>
          <w:p>
            <w:pPr>
              <w:widowControl/>
              <w:adjustRightInd w:val="0"/>
              <w:snapToGrid w:val="0"/>
              <w:jc w:val="center"/>
              <w:rPr>
                <w:rFonts w:ascii="方正书宋_GBK" w:eastAsia="方正书宋_GBK"/>
              </w:rPr>
            </w:pPr>
            <w:r>
              <w:rPr>
                <w:rFonts w:ascii="方正书宋_GBK" w:eastAsia="方正书宋_GBK"/>
              </w:rPr>
              <w:t>效益</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经济发展</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10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经济发展有效促进经济发展</w:t>
            </w:r>
          </w:p>
        </w:tc>
        <w:tc>
          <w:tcPr>
            <w:tcW w:w="92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文字描述</w:t>
            </w:r>
          </w:p>
        </w:tc>
        <w:tc>
          <w:tcPr>
            <w:tcW w:w="1090" w:type="dxa"/>
            <w:tcBorders>
              <w:tl2br w:val="nil"/>
              <w:tr2bl w:val="nil"/>
            </w:tcBorders>
            <w:vAlign w:val="center"/>
          </w:tcPr>
          <w:p>
            <w:pPr>
              <w:jc w:val="center"/>
              <w:rPr>
                <w:rFonts w:ascii="仿宋" w:hAnsi="仿宋" w:eastAsia="仿宋" w:cs="仿宋"/>
                <w:szCs w:val="21"/>
              </w:rPr>
            </w:pPr>
          </w:p>
        </w:tc>
        <w:tc>
          <w:tcPr>
            <w:tcW w:w="192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制定招商方案，改善营商环境</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招商方案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4" w:hRule="atLeast"/>
          <w:jc w:val="center"/>
        </w:trPr>
        <w:tc>
          <w:tcPr>
            <w:tcW w:w="861" w:type="dxa"/>
            <w:vMerge w:val="continue"/>
            <w:tcBorders>
              <w:tl2br w:val="nil"/>
              <w:tr2bl w:val="nil"/>
            </w:tcBorders>
            <w:vAlign w:val="center"/>
          </w:tcP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hint="eastAsia" w:ascii="方正书宋_GBK" w:eastAsia="方正书宋_GBK"/>
              </w:rPr>
              <w:t>经济</w:t>
            </w:r>
          </w:p>
          <w:p>
            <w:pPr>
              <w:widowControl/>
              <w:adjustRightInd w:val="0"/>
              <w:snapToGrid w:val="0"/>
              <w:jc w:val="center"/>
              <w:rPr>
                <w:rFonts w:ascii="方正书宋_GBK" w:eastAsia="方正书宋_GBK"/>
              </w:rPr>
            </w:pPr>
            <w:r>
              <w:rPr>
                <w:rFonts w:hint="eastAsia" w:ascii="方正书宋_GBK" w:eastAsia="方正书宋_GBK"/>
              </w:rPr>
              <w:t>效益</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社会效益指标</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10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机关正常运转</w:t>
            </w:r>
          </w:p>
        </w:tc>
        <w:tc>
          <w:tcPr>
            <w:tcW w:w="92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文字描述</w:t>
            </w:r>
          </w:p>
        </w:tc>
        <w:tc>
          <w:tcPr>
            <w:tcW w:w="1090" w:type="dxa"/>
            <w:tcBorders>
              <w:tl2br w:val="nil"/>
              <w:tr2bl w:val="nil"/>
            </w:tcBorders>
            <w:vAlign w:val="center"/>
          </w:tcPr>
          <w:p>
            <w:pPr>
              <w:jc w:val="center"/>
              <w:rPr>
                <w:rFonts w:ascii="仿宋" w:hAnsi="仿宋" w:eastAsia="仿宋" w:cs="仿宋"/>
                <w:szCs w:val="21"/>
              </w:rPr>
            </w:pP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正常运转</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高新区年度计划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4" w:hRule="atLeast"/>
          <w:jc w:val="center"/>
        </w:trPr>
        <w:tc>
          <w:tcPr>
            <w:tcW w:w="861" w:type="dxa"/>
            <w:vMerge w:val="continue"/>
            <w:tcBorders>
              <w:tl2br w:val="nil"/>
              <w:tr2bl w:val="nil"/>
            </w:tcBorders>
            <w:vAlign w:val="center"/>
          </w:tcPr>
          <w:p/>
        </w:tc>
        <w:tc>
          <w:tcPr>
            <w:tcW w:w="898" w:type="dxa"/>
            <w:tcBorders>
              <w:tl2br w:val="nil"/>
              <w:tr2bl w:val="nil"/>
            </w:tcBorders>
            <w:vAlign w:val="center"/>
          </w:tcPr>
          <w:p>
            <w:pPr>
              <w:widowControl/>
              <w:adjustRightInd w:val="0"/>
              <w:snapToGrid w:val="0"/>
              <w:jc w:val="center"/>
              <w:rPr>
                <w:rFonts w:ascii="方正书宋_GBK" w:eastAsia="方正书宋_GBK"/>
              </w:rPr>
            </w:pPr>
            <w:r>
              <w:rPr>
                <w:rFonts w:hint="eastAsia" w:ascii="方正书宋_GBK" w:eastAsia="方正书宋_GBK"/>
              </w:rPr>
              <w:t>满意度</w:t>
            </w:r>
          </w:p>
        </w:tc>
        <w:tc>
          <w:tcPr>
            <w:tcW w:w="1770"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受益群体满意度</w:t>
            </w:r>
          </w:p>
        </w:tc>
        <w:tc>
          <w:tcPr>
            <w:tcW w:w="1140" w:type="dxa"/>
            <w:tcBorders>
              <w:tl2br w:val="nil"/>
              <w:tr2bl w:val="nil"/>
            </w:tcBorders>
          </w:tcPr>
          <w:p>
            <w:pPr>
              <w:widowControl/>
              <w:jc w:val="center"/>
              <w:textAlignment w:val="top"/>
              <w:rPr>
                <w:rFonts w:ascii="仿宋" w:hAnsi="仿宋" w:eastAsia="仿宋" w:cs="仿宋"/>
                <w:szCs w:val="21"/>
              </w:rPr>
            </w:pPr>
            <w:r>
              <w:rPr>
                <w:rFonts w:hint="eastAsia" w:ascii="仿宋" w:hAnsi="仿宋" w:eastAsia="仿宋" w:cs="仿宋"/>
                <w:color w:val="000000"/>
                <w:kern w:val="0"/>
                <w:szCs w:val="21"/>
                <w:lang w:bidi="ar"/>
              </w:rPr>
              <w:t>20</w:t>
            </w:r>
          </w:p>
        </w:tc>
        <w:tc>
          <w:tcPr>
            <w:tcW w:w="4305"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受益群体调查中，满意和较满意的人数占全部调查人数的比率</w:t>
            </w:r>
          </w:p>
        </w:tc>
        <w:tc>
          <w:tcPr>
            <w:tcW w:w="92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090"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95.00</w:t>
            </w:r>
          </w:p>
        </w:tc>
        <w:tc>
          <w:tcPr>
            <w:tcW w:w="1921" w:type="dxa"/>
            <w:tcBorders>
              <w:tl2br w:val="nil"/>
              <w:tr2bl w:val="nil"/>
            </w:tcBorders>
            <w:vAlign w:val="center"/>
          </w:tcPr>
          <w:p>
            <w:pPr>
              <w:widowControl/>
              <w:jc w:val="center"/>
              <w:textAlignment w:val="center"/>
              <w:rPr>
                <w:rFonts w:ascii="仿宋" w:hAnsi="仿宋" w:eastAsia="仿宋" w:cs="仿宋"/>
                <w:szCs w:val="21"/>
              </w:rPr>
            </w:pPr>
            <w:r>
              <w:rPr>
                <w:rFonts w:hint="eastAsia" w:ascii="仿宋" w:hAnsi="仿宋" w:eastAsia="仿宋" w:cs="仿宋"/>
                <w:color w:val="000000"/>
                <w:kern w:val="0"/>
                <w:szCs w:val="21"/>
                <w:lang w:bidi="ar"/>
              </w:rPr>
              <w:t>%</w:t>
            </w:r>
          </w:p>
        </w:tc>
        <w:tc>
          <w:tcPr>
            <w:tcW w:w="1231" w:type="dxa"/>
            <w:tcBorders>
              <w:tl2br w:val="nil"/>
              <w:tr2bl w:val="nil"/>
            </w:tcBorders>
            <w:vAlign w:val="center"/>
          </w:tcPr>
          <w:p>
            <w:pPr>
              <w:widowControl/>
              <w:jc w:val="left"/>
              <w:textAlignment w:val="center"/>
              <w:rPr>
                <w:rFonts w:ascii="仿宋" w:hAnsi="仿宋" w:eastAsia="仿宋" w:cs="仿宋"/>
                <w:szCs w:val="21"/>
              </w:rPr>
            </w:pPr>
            <w:r>
              <w:rPr>
                <w:rFonts w:hint="eastAsia" w:ascii="仿宋" w:hAnsi="仿宋" w:eastAsia="仿宋" w:cs="仿宋"/>
                <w:color w:val="000000"/>
                <w:kern w:val="0"/>
                <w:szCs w:val="21"/>
                <w:lang w:bidi="ar"/>
              </w:rPr>
              <w:t>电话回访</w:t>
            </w:r>
          </w:p>
        </w:tc>
      </w:tr>
    </w:tbl>
    <w:p>
      <w:pPr>
        <w:spacing w:line="584" w:lineRule="exact"/>
        <w:rPr>
          <w:rFonts w:ascii="仿宋_GB2312" w:eastAsia="仿宋_GB2312" w:cs="Times New Roman"/>
          <w:sz w:val="32"/>
          <w:szCs w:val="32"/>
        </w:rPr>
      </w:pPr>
    </w:p>
    <w:p>
      <w:pPr>
        <w:spacing w:line="584" w:lineRule="exact"/>
        <w:rPr>
          <w:rFonts w:ascii="仿宋_GB2312" w:eastAsia="仿宋_GB2312" w:cs="Times New Roman"/>
          <w:sz w:val="32"/>
          <w:szCs w:val="32"/>
        </w:rPr>
      </w:pPr>
    </w:p>
    <w:p>
      <w:pPr>
        <w:spacing w:line="584" w:lineRule="exact"/>
        <w:rPr>
          <w:rFonts w:ascii="仿宋_GB2312" w:eastAsia="仿宋_GB2312" w:cs="Times New Roman"/>
          <w:sz w:val="32"/>
          <w:szCs w:val="32"/>
        </w:rPr>
      </w:pPr>
    </w:p>
    <w:p>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第二部分 资金绩效目标</w:t>
      </w:r>
    </w:p>
    <w:p>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1.</w:t>
      </w:r>
      <w:r>
        <w:rPr>
          <w:rFonts w:hint="eastAsia" w:ascii="Times New Roman" w:hAnsi="Times New Roman" w:eastAsia="仿宋_GB2312" w:cs="Times New Roman"/>
          <w:sz w:val="28"/>
        </w:rPr>
        <w:t>园区社会事业发展建设项目</w:t>
      </w:r>
      <w:r>
        <w:rPr>
          <w:rFonts w:ascii="Times New Roman" w:hAnsi="Times New Roman" w:eastAsia="仿宋_GB2312" w:cs="Times New Roman"/>
          <w:sz w:val="28"/>
        </w:rPr>
        <w:t>绩效目标表</w:t>
      </w:r>
      <w:bookmarkStart w:id="0" w:name="_Toc29799657"/>
      <w:bookmarkEnd w:id="0"/>
      <w:r>
        <w:rPr>
          <w:rFonts w:ascii="Times New Roman" w:hAnsi="Times New Roman" w:eastAsia="仿宋_GB2312" w:cs="Times New Roman"/>
          <w:vanish/>
          <w:sz w:val="28"/>
        </w:rPr>
        <w:t>{ TC 2、办公自动化（OA）和督查督办系统升级及推广费绩效目标表 \f C \l 1 }</w:t>
      </w:r>
    </w:p>
    <w:p>
      <w:pPr>
        <w:spacing w:line="14" w:lineRule="exact"/>
        <w:ind w:firstLine="420" w:firstLineChars="200"/>
        <w:jc w:val="center"/>
        <w:rPr>
          <w:rFonts w:ascii="Times New Roman" w:hAnsi="Times New Roman" w:eastAsia="仿宋_GB2312" w:cs="Times New Roman"/>
        </w:rPr>
      </w:pPr>
    </w:p>
    <w:tbl>
      <w:tblPr>
        <w:tblStyle w:val="10"/>
        <w:tblW w:w="140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1.通过对燕郊高新区区域内社会事业发展建设项目的提升，促进燕郊高新区稳定发展。</w:t>
            </w:r>
          </w:p>
          <w:p>
            <w:pPr>
              <w:spacing w:line="300" w:lineRule="exact"/>
              <w:jc w:val="left"/>
              <w:rPr>
                <w:rFonts w:ascii="仿宋" w:hAnsi="仿宋" w:eastAsia="仿宋" w:cs="仿宋"/>
              </w:rPr>
            </w:pPr>
            <w:r>
              <w:rPr>
                <w:rFonts w:hint="eastAsia" w:ascii="仿宋" w:hAnsi="仿宋" w:eastAsia="仿宋" w:cs="仿宋"/>
              </w:rPr>
              <w:t>2.通过对燕郊高新区区域内社会事业发展建设项目的提升，促进京津冀协同发展性步伐加快。</w:t>
            </w:r>
          </w:p>
          <w:p>
            <w:pPr>
              <w:spacing w:line="300" w:lineRule="exact"/>
              <w:rPr>
                <w:rFonts w:ascii="Times New Roman" w:hAnsi="Times New Roman" w:eastAsia="仿宋_GB2312" w:cs="Times New Roman"/>
                <w:b/>
              </w:rPr>
            </w:pPr>
            <w:r>
              <w:rPr>
                <w:rFonts w:hint="eastAsia" w:ascii="仿宋" w:hAnsi="仿宋" w:eastAsia="仿宋" w:cs="仿宋"/>
              </w:rPr>
              <w:t>3.通过对燕郊高新区区域内社会事业发展建设项目的提升，满足人民需求。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数量指标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智能化改造路口数量</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智能化改造路口数量</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68个</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质量指标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验收合格率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通过验收工程量占总工程的比率</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100%</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时效指标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工作按期完成率（%）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按期完成的工作量占总工作量的比率</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100%</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成本指标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总成本</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项目总成本</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≤7126万元</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经济效益指标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促进经济发展</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促进经济发展</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有效促进</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社会效益指标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社会稳定发展</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促进维持社会稳定</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稳定</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服务对象满意度指标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受益群体满意度（%）</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受益群体调查中，满意和较满意的人数占全部调查人数的比率</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≥95%</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电话回访</w:t>
            </w:r>
          </w:p>
        </w:tc>
      </w:tr>
    </w:tbl>
    <w:p>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rPr>
        <w:t>城市基础设施运行维护费（一般）</w:t>
      </w:r>
      <w:r>
        <w:rPr>
          <w:rFonts w:ascii="Times New Roman" w:hAnsi="Times New Roman" w:eastAsia="仿宋_GB2312" w:cs="Times New Roman"/>
          <w:sz w:val="28"/>
        </w:rPr>
        <w:t>绩效目标表</w:t>
      </w:r>
      <w:r>
        <w:rPr>
          <w:rFonts w:ascii="Times New Roman" w:hAnsi="Times New Roman" w:eastAsia="仿宋_GB2312" w:cs="Times New Roman"/>
          <w:vanish/>
          <w:sz w:val="28"/>
        </w:rPr>
        <w:t>{ TC 2、办公自动化（OA）和督查督办系统升级及推广费绩效目标表 \f C \l 1 }</w:t>
      </w:r>
    </w:p>
    <w:p>
      <w:pPr>
        <w:spacing w:line="14" w:lineRule="exact"/>
        <w:ind w:firstLine="420" w:firstLineChars="200"/>
        <w:jc w:val="center"/>
        <w:rPr>
          <w:rFonts w:ascii="Times New Roman" w:hAnsi="Times New Roman" w:eastAsia="仿宋_GB2312" w:cs="Times New Roman"/>
        </w:rPr>
      </w:pPr>
    </w:p>
    <w:tbl>
      <w:tblPr>
        <w:tblStyle w:val="10"/>
        <w:tblW w:w="140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1.通过项目的开展实现工程完工等战略，保障验收工程量的实现。</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p>
          <w:p>
            <w:pPr>
              <w:spacing w:line="300" w:lineRule="exact"/>
              <w:jc w:val="left"/>
              <w:rPr>
                <w:rFonts w:ascii="仿宋" w:hAnsi="仿宋" w:eastAsia="仿宋" w:cs="仿宋"/>
              </w:rPr>
            </w:pPr>
            <w:r>
              <w:rPr>
                <w:rFonts w:hint="eastAsia" w:ascii="仿宋" w:hAnsi="仿宋" w:eastAsia="仿宋" w:cs="仿宋"/>
              </w:rPr>
              <w:t>2.通过项目的开展</w:t>
            </w:r>
            <w:r>
              <w:rPr>
                <w:rFonts w:hint="eastAsia" w:ascii="仿宋" w:hAnsi="仿宋" w:eastAsia="仿宋" w:cs="仿宋"/>
                <w:lang w:eastAsia="zh-CN"/>
              </w:rPr>
              <w:t>达到</w:t>
            </w:r>
            <w:r>
              <w:rPr>
                <w:rFonts w:hint="eastAsia" w:ascii="仿宋" w:hAnsi="仿宋" w:eastAsia="仿宋" w:cs="仿宋"/>
              </w:rPr>
              <w:t>工程量完成率，实现基础设施建成后的利用、使用情况 。</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ab/>
            </w:r>
          </w:p>
          <w:p>
            <w:pPr>
              <w:spacing w:line="300" w:lineRule="exact"/>
              <w:rPr>
                <w:rFonts w:ascii="Times New Roman" w:hAnsi="Times New Roman" w:eastAsia="仿宋_GB2312" w:cs="Times New Roman"/>
                <w:b/>
              </w:rPr>
            </w:pPr>
            <w:r>
              <w:rPr>
                <w:rFonts w:hint="eastAsia" w:ascii="仿宋" w:hAnsi="仿宋" w:eastAsia="仿宋" w:cs="仿宋"/>
              </w:rPr>
              <w:t>3.通过项目的开展保障区内基础设施正常运行。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数量指标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工程量完成率（%）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实际完成工程量占计划完成工程量的比率</w:t>
            </w:r>
          </w:p>
          <w:p>
            <w:pPr>
              <w:spacing w:line="300" w:lineRule="exact"/>
              <w:jc w:val="left"/>
              <w:rPr>
                <w:rFonts w:ascii="仿宋" w:hAnsi="仿宋" w:eastAsia="仿宋" w:cs="仿宋"/>
              </w:rPr>
            </w:pP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100%</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质量指标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工程验收合格率（%）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通过验收的工程量占建设、改造、修缮总量的比率</w:t>
            </w:r>
          </w:p>
          <w:p>
            <w:pPr>
              <w:spacing w:line="300" w:lineRule="exact"/>
              <w:jc w:val="left"/>
              <w:rPr>
                <w:rFonts w:ascii="仿宋" w:hAnsi="仿宋" w:eastAsia="仿宋" w:cs="仿宋"/>
              </w:rPr>
            </w:pP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100%</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时效指标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项目按期完成率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"项目按期完成量占全部工程百分比</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100%</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成本指标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预算控制数</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成本控制在预算额度内</w:t>
            </w:r>
          </w:p>
          <w:p>
            <w:pPr>
              <w:spacing w:line="300" w:lineRule="exact"/>
              <w:jc w:val="left"/>
              <w:rPr>
                <w:rFonts w:ascii="仿宋" w:hAnsi="仿宋" w:eastAsia="仿宋" w:cs="仿宋"/>
              </w:rPr>
            </w:pP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≤2750.32万元</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经济效益指标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经济发展</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经济发展</w:t>
            </w: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制定招商方案，改善营商环境</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社会效益指标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基础设施完好率（%）</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设备完好数量市场价值总额占设备总数量市场价值总额的比率</w:t>
            </w:r>
          </w:p>
          <w:p>
            <w:pPr>
              <w:spacing w:line="300" w:lineRule="exact"/>
              <w:jc w:val="left"/>
              <w:rPr>
                <w:rFonts w:ascii="仿宋" w:hAnsi="仿宋" w:eastAsia="仿宋" w:cs="仿宋"/>
              </w:rPr>
            </w:pP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≥95%</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服务对象满意度指标</w:t>
            </w:r>
          </w:p>
        </w:tc>
        <w:tc>
          <w:tcPr>
            <w:tcW w:w="198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受益群体满意度（%）</w:t>
            </w:r>
          </w:p>
        </w:tc>
        <w:tc>
          <w:tcPr>
            <w:tcW w:w="3402"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受益群体调查中，满意和较满意的人数占全部调查人数的比率</w:t>
            </w:r>
          </w:p>
          <w:p>
            <w:pPr>
              <w:spacing w:line="300" w:lineRule="exact"/>
              <w:jc w:val="left"/>
              <w:rPr>
                <w:rFonts w:ascii="仿宋" w:hAnsi="仿宋" w:eastAsia="仿宋" w:cs="仿宋"/>
              </w:rPr>
            </w:pPr>
          </w:p>
        </w:tc>
        <w:tc>
          <w:tcPr>
            <w:tcW w:w="1843"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≥95%</w:t>
            </w:r>
          </w:p>
        </w:tc>
        <w:tc>
          <w:tcPr>
            <w:tcW w:w="2155" w:type="dxa"/>
            <w:shd w:val="clear" w:color="auto" w:fill="auto"/>
            <w:vAlign w:val="center"/>
          </w:tcPr>
          <w:p>
            <w:pPr>
              <w:spacing w:line="300" w:lineRule="exact"/>
              <w:jc w:val="left"/>
              <w:rPr>
                <w:rFonts w:ascii="仿宋" w:hAnsi="仿宋" w:eastAsia="仿宋" w:cs="仿宋"/>
              </w:rPr>
            </w:pPr>
            <w:r>
              <w:rPr>
                <w:rFonts w:hint="eastAsia" w:ascii="仿宋" w:hAnsi="仿宋" w:eastAsia="仿宋" w:cs="仿宋"/>
              </w:rPr>
              <w:t>问卷调查</w:t>
            </w:r>
          </w:p>
        </w:tc>
      </w:tr>
    </w:tbl>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3</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容貌改善项目（一般）绩效目标表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1.通过对燕郊高新区区域内容貌改善建设项目的提升，促进燕郊高新区稳定发展。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2.通过对燕郊高新区区域内容貌改善建设项目的提升，促进京津冀协同发展性步伐加快。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3.通过对燕郊高新区区域内容貌改善建设项目的提升，满足人民需求。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53"/>
        <w:gridCol w:w="2295"/>
        <w:gridCol w:w="1950"/>
        <w:gridCol w:w="3420"/>
        <w:gridCol w:w="1875"/>
        <w:gridCol w:w="2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5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42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7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8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道路长度</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道路长度</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9.9千米</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≤4038.58万元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4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4</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教育发展项目绩效目标表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37"/>
        <w:gridCol w:w="1173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3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3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1.通过对燕郊高新区区域内教育发展项目的提升，促进燕郊高新区稳定发展。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2.通过对燕郊高新区区域内教育发展项目的提升，促进京津冀协同发展性步伐加快。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3.通过对燕郊高新区区域内教育发展项目的提升，满足人民需求。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8"/>
        <w:gridCol w:w="2325"/>
        <w:gridCol w:w="1950"/>
        <w:gridCol w:w="3390"/>
        <w:gridCol w:w="1890"/>
        <w:gridCol w:w="2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3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8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工程主体建设面积</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工程主体建设面积</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24720平方米</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≤9675.11万元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促进社会稳定发展</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jc w:val="left"/>
        <w:rPr>
          <w:rFonts w:ascii="Times New Roman" w:hAnsi="Times New Roman" w:eastAsia="方正仿宋_GBK" w:cs="Times New Roman"/>
          <w:bCs/>
          <w:sz w:val="28"/>
          <w:szCs w:val="28"/>
        </w:rPr>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5</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城市容貌环境综合治理绩效目标表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37"/>
        <w:gridCol w:w="1173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3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3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1.通过项目的开展实现开发区正常发展等战略，保障开发区发展的实现。</w:t>
            </w:r>
          </w:p>
          <w:p>
            <w:pPr>
              <w:spacing w:line="300" w:lineRule="exact"/>
              <w:jc w:val="left"/>
              <w:rPr>
                <w:rFonts w:ascii="仿宋" w:hAnsi="仿宋" w:eastAsia="仿宋" w:cs="仿宋"/>
                <w:szCs w:val="21"/>
              </w:rPr>
            </w:pPr>
            <w:r>
              <w:rPr>
                <w:rFonts w:hint="eastAsia" w:ascii="仿宋" w:hAnsi="仿宋" w:eastAsia="仿宋" w:cs="仿宋"/>
                <w:szCs w:val="21"/>
              </w:rPr>
              <w:t>2.为保证城市管理工作正常开展。</w:t>
            </w:r>
          </w:p>
          <w:p>
            <w:pPr>
              <w:spacing w:line="300" w:lineRule="exact"/>
              <w:jc w:val="left"/>
              <w:rPr>
                <w:rFonts w:ascii="仿宋" w:hAnsi="仿宋" w:eastAsia="仿宋" w:cs="仿宋"/>
                <w:szCs w:val="21"/>
              </w:rPr>
            </w:pPr>
            <w:r>
              <w:rPr>
                <w:rFonts w:hint="eastAsia" w:ascii="仿宋" w:hAnsi="仿宋" w:eastAsia="仿宋" w:cs="仿宋"/>
                <w:szCs w:val="21"/>
              </w:rPr>
              <w:t>3.确保城市管理及日常巡查工作，对队员统一培训；负责法律、法规宣传教育，对办公楼进行日行维护。</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8"/>
        <w:gridCol w:w="2310"/>
        <w:gridCol w:w="1980"/>
        <w:gridCol w:w="3375"/>
        <w:gridCol w:w="1890"/>
        <w:gridCol w:w="2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3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7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8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执法行动次数</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违法建筑拆除行动次数</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≥15次</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违章建筑拆除后验收结果</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合同质量要求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完成率</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接到群众举报件完成情况</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≤335万元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基本公共卫生服务水平</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持续保持城市整洁的工作效果</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w:t>
            </w:r>
          </w:p>
        </w:tc>
        <w:tc>
          <w:tcPr>
            <w:tcW w:w="337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市民对城市管理工作的满意程度</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6</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人才管理工作经费绩效目标表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22"/>
        <w:gridCol w:w="1175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2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5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1.2021年组织各类招聘会40场</w:t>
            </w:r>
          </w:p>
          <w:p>
            <w:pPr>
              <w:spacing w:line="300" w:lineRule="exact"/>
              <w:jc w:val="left"/>
              <w:rPr>
                <w:rFonts w:ascii="仿宋" w:hAnsi="仿宋" w:eastAsia="仿宋" w:cs="仿宋"/>
                <w:szCs w:val="21"/>
              </w:rPr>
            </w:pPr>
            <w:r>
              <w:rPr>
                <w:rFonts w:hint="eastAsia" w:ascii="仿宋" w:hAnsi="仿宋" w:eastAsia="仿宋" w:cs="仿宋"/>
                <w:szCs w:val="21"/>
              </w:rPr>
              <w:t>2.发布就业岗位5000个，组织参会企业15000家。</w:t>
            </w:r>
          </w:p>
          <w:p>
            <w:pPr>
              <w:spacing w:line="300" w:lineRule="exact"/>
              <w:jc w:val="left"/>
              <w:rPr>
                <w:rFonts w:ascii="仿宋" w:hAnsi="仿宋" w:eastAsia="仿宋" w:cs="仿宋"/>
                <w:szCs w:val="21"/>
              </w:rPr>
            </w:pPr>
            <w:r>
              <w:rPr>
                <w:rFonts w:hint="eastAsia" w:ascii="仿宋" w:hAnsi="仿宋" w:eastAsia="仿宋" w:cs="仿宋"/>
                <w:szCs w:val="21"/>
              </w:rPr>
              <w:t>3.通过招聘会的举办改善企业招工困难问题。</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23"/>
        <w:gridCol w:w="2325"/>
        <w:gridCol w:w="1995"/>
        <w:gridCol w:w="3360"/>
        <w:gridCol w:w="1890"/>
        <w:gridCol w:w="2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2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8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组织招聘会</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全年组织各类人才招聘会</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40场</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培训合格率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培训合格的学员数量占培训总学员数量的比率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及时性</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发布招聘信息及时率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p>
            <w:pPr>
              <w:spacing w:line="300" w:lineRule="exact"/>
              <w:jc w:val="left"/>
              <w:rPr>
                <w:rFonts w:ascii="仿宋" w:hAnsi="仿宋" w:eastAsia="仿宋" w:cs="仿宋"/>
                <w:szCs w:val="21"/>
              </w:rPr>
            </w:pP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成本控制在预算控制数内</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≤742.6万元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2021年预算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解决企业招工难</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积极举办各类人才招聘会，通过各个渠道，发布企业招聘信息，解决企业招工难，个人求职难问题。</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求职人员满意度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对求职人员调查中满意占调查总人数的比率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8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调查问卷</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7</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污水处理厂运营费（一般）绩效目标表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07"/>
        <w:gridCol w:w="1176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0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6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1.通过项目的开展实现净化水资源等战略，保障绿水青山就是金山银山的实现。</w:t>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2.通过项目的开展完成实际完成量，实现城镇环境。</w:t>
            </w:r>
          </w:p>
          <w:p>
            <w:pPr>
              <w:spacing w:line="300" w:lineRule="exact"/>
              <w:jc w:val="left"/>
              <w:rPr>
                <w:rFonts w:ascii="仿宋" w:hAnsi="仿宋" w:eastAsia="仿宋" w:cs="仿宋"/>
                <w:szCs w:val="21"/>
              </w:rPr>
            </w:pPr>
            <w:r>
              <w:rPr>
                <w:rFonts w:hint="eastAsia" w:ascii="仿宋" w:hAnsi="仿宋" w:eastAsia="仿宋" w:cs="仿宋"/>
                <w:szCs w:val="21"/>
              </w:rPr>
              <w:t>3.通过项目的开展优化营商环境。</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8"/>
        <w:gridCol w:w="2325"/>
        <w:gridCol w:w="2025"/>
        <w:gridCol w:w="3345"/>
        <w:gridCol w:w="1905"/>
        <w:gridCol w:w="21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0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0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66"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实际完成量</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污水处理量</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工作验收合格率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污水处理率</w:t>
            </w:r>
          </w:p>
          <w:p>
            <w:pPr>
              <w:spacing w:line="300" w:lineRule="exact"/>
              <w:jc w:val="left"/>
              <w:rPr>
                <w:rFonts w:ascii="仿宋" w:hAnsi="仿宋" w:eastAsia="仿宋" w:cs="仿宋"/>
                <w:szCs w:val="21"/>
              </w:rPr>
            </w:pP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及时率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污水处理及时率</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p>
            <w:pPr>
              <w:spacing w:line="300" w:lineRule="exact"/>
              <w:jc w:val="left"/>
              <w:rPr>
                <w:rFonts w:ascii="仿宋" w:hAnsi="仿宋" w:eastAsia="仿宋" w:cs="仿宋"/>
                <w:szCs w:val="21"/>
              </w:rPr>
            </w:pP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≤4112.34万元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0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受益人口</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80万</w:t>
            </w:r>
          </w:p>
          <w:p>
            <w:pPr>
              <w:spacing w:line="300" w:lineRule="exact"/>
              <w:jc w:val="left"/>
              <w:rPr>
                <w:rFonts w:ascii="仿宋" w:hAnsi="仿宋" w:eastAsia="仿宋" w:cs="仿宋"/>
                <w:szCs w:val="21"/>
              </w:rPr>
            </w:pP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0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受益对象满意度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反应受益对象满意率情况</w:t>
            </w:r>
          </w:p>
          <w:p>
            <w:pPr>
              <w:spacing w:line="300" w:lineRule="exact"/>
              <w:jc w:val="left"/>
              <w:rPr>
                <w:rFonts w:ascii="仿宋" w:hAnsi="仿宋" w:eastAsia="仿宋" w:cs="仿宋"/>
                <w:szCs w:val="21"/>
              </w:rPr>
            </w:pP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&gt;95%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8</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城市绿化管理费（一般）绩效目标表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07"/>
        <w:gridCol w:w="1176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0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6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1.通过项目的开展实现绿水青山就是金山银山等战略，保障园林绿化道路养护及公园养护的实现。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w:t>
            </w:r>
            <w:r>
              <w:rPr>
                <w:rFonts w:hint="eastAsia" w:ascii="仿宋" w:hAnsi="仿宋" w:eastAsia="仿宋" w:cs="仿宋"/>
                <w:szCs w:val="21"/>
                <w:lang w:eastAsia="zh-CN"/>
              </w:rPr>
              <w:t>提高</w:t>
            </w:r>
            <w:r>
              <w:rPr>
                <w:rFonts w:hint="eastAsia" w:ascii="仿宋" w:hAnsi="仿宋" w:eastAsia="仿宋" w:cs="仿宋"/>
                <w:szCs w:val="21"/>
              </w:rPr>
              <w:t>园林绿化日常养护质量，实现园林绿化养护日常管理社会影响。</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23"/>
        <w:gridCol w:w="2310"/>
        <w:gridCol w:w="2040"/>
        <w:gridCol w:w="3345"/>
        <w:gridCol w:w="1905"/>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2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0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考核次数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道路、公园园林绿化养护考核</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≥11次</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园林绿化日常养护质量</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按照相关标准在园林绿化养护考核达标率</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达标</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完成资金支付时效</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按照合同约定支付养护费用</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≤4次</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≤200万元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公园日常管理社会影响</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按照相关标准在园林绿化日常养护中达到相关社会观赏要求</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居民满意度%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满意与比较满意的总人数</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9</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行政审批专项经费绩效目标表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37"/>
        <w:gridCol w:w="1173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3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3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1.2008年成立燕郊审批业务大厅，审批业务大厅共54个业务窗口，120人工作人员，为保障审批业务大厅正常运行，每月按实际发生业务支出。</w:t>
            </w:r>
          </w:p>
          <w:p>
            <w:pPr>
              <w:spacing w:line="300" w:lineRule="exact"/>
              <w:jc w:val="left"/>
              <w:rPr>
                <w:rFonts w:ascii="仿宋" w:hAnsi="仿宋" w:eastAsia="仿宋" w:cs="仿宋"/>
                <w:szCs w:val="21"/>
              </w:rPr>
            </w:pPr>
            <w:r>
              <w:rPr>
                <w:rFonts w:hint="eastAsia" w:ascii="仿宋" w:hAnsi="仿宋" w:eastAsia="仿宋" w:cs="仿宋"/>
                <w:szCs w:val="21"/>
              </w:rPr>
              <w:t>2.2008年成立燕郊审批业务大厅，审批业务大厅共54个业务窗口，120人工作人员，为保障审批业务大厅正常运行，每月按实际发生业务支出。</w:t>
            </w:r>
          </w:p>
          <w:p>
            <w:pPr>
              <w:spacing w:line="300" w:lineRule="exact"/>
              <w:jc w:val="left"/>
              <w:rPr>
                <w:rFonts w:ascii="仿宋" w:hAnsi="仿宋" w:eastAsia="仿宋" w:cs="仿宋"/>
                <w:szCs w:val="21"/>
              </w:rPr>
            </w:pPr>
            <w:r>
              <w:rPr>
                <w:rFonts w:hint="eastAsia" w:ascii="仿宋" w:hAnsi="仿宋" w:eastAsia="仿宋" w:cs="仿宋"/>
                <w:szCs w:val="21"/>
              </w:rPr>
              <w:t>3.通过项目保障行政审批大厅正常运转。</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8"/>
        <w:gridCol w:w="2295"/>
        <w:gridCol w:w="2055"/>
        <w:gridCol w:w="3330"/>
        <w:gridCol w:w="1905"/>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3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0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人数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保障机关正常工作人数</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≥120人</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市两办印发《燕郊高新区内设机构及部门职责》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正常运转率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使大厅工作正常运转</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市两办印发《燕郊高新区内设机构及部门职责》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费用支出时间</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按月支付资金到位</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≤12月</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市两办印发《燕郊高新区内设机构及部门职责》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≤989.83万元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市两办印发《燕郊高新区内设机构及部门职责》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事项办结率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办结事项占全部事项比例</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数据统计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群众对窗口工作的满意度</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10</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城市管理业务费绩效目标表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22"/>
        <w:gridCol w:w="1175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2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5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1.保证临时和派遣人员工资发放</w:t>
            </w:r>
          </w:p>
          <w:p>
            <w:pPr>
              <w:spacing w:line="300" w:lineRule="exact"/>
              <w:jc w:val="left"/>
              <w:rPr>
                <w:rFonts w:ascii="仿宋" w:hAnsi="仿宋" w:eastAsia="仿宋" w:cs="仿宋"/>
                <w:szCs w:val="21"/>
              </w:rPr>
            </w:pPr>
            <w:r>
              <w:rPr>
                <w:rFonts w:hint="eastAsia" w:ascii="仿宋" w:hAnsi="仿宋" w:eastAsia="仿宋" w:cs="仿宋"/>
                <w:szCs w:val="21"/>
              </w:rPr>
              <w:t>2.保证临时和派遣人员保险的缴纳</w:t>
            </w:r>
          </w:p>
          <w:p>
            <w:pPr>
              <w:spacing w:line="300" w:lineRule="exact"/>
              <w:jc w:val="left"/>
              <w:rPr>
                <w:rFonts w:ascii="仿宋" w:hAnsi="仿宋" w:eastAsia="仿宋" w:cs="仿宋"/>
                <w:szCs w:val="21"/>
              </w:rPr>
            </w:pPr>
            <w:r>
              <w:rPr>
                <w:rFonts w:hint="eastAsia" w:ascii="仿宋" w:hAnsi="仿宋" w:eastAsia="仿宋" w:cs="仿宋"/>
                <w:szCs w:val="21"/>
              </w:rPr>
              <w:t>3.确保临时及劳务派遣人员工资的正常发放。</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23"/>
        <w:gridCol w:w="2325"/>
        <w:gridCol w:w="2055"/>
        <w:gridCol w:w="3315"/>
        <w:gridCol w:w="1890"/>
        <w:gridCol w:w="21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2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66"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工资发放及时性</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工资发放及时性</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根据人事通知及表格及时发放</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人事通知单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≤1000万元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2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促进社会稳定水平逐步提高</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2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rPr>
          <w:rFonts w:ascii="仿宋" w:hAnsi="仿宋" w:eastAsia="仿宋" w:cs="仿宋"/>
          <w:szCs w:val="21"/>
        </w:rPr>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11</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规划服务运行经费绩效目标表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22"/>
        <w:gridCol w:w="1175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2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5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1.通过项目的开展实现各项工作验收质量达标，保障工作质量的实现。</w:t>
            </w:r>
          </w:p>
          <w:p>
            <w:pPr>
              <w:spacing w:line="300" w:lineRule="exact"/>
              <w:jc w:val="left"/>
              <w:rPr>
                <w:rFonts w:ascii="仿宋" w:hAnsi="仿宋" w:eastAsia="仿宋" w:cs="仿宋"/>
                <w:szCs w:val="21"/>
              </w:rPr>
            </w:pPr>
            <w:r>
              <w:rPr>
                <w:rFonts w:hint="eastAsia" w:ascii="仿宋" w:hAnsi="仿宋" w:eastAsia="仿宋" w:cs="仿宋"/>
                <w:szCs w:val="21"/>
              </w:rPr>
              <w:t>2.通过项目的</w:t>
            </w:r>
            <w:bookmarkStart w:id="3" w:name="_GoBack"/>
            <w:bookmarkEnd w:id="3"/>
            <w:r>
              <w:rPr>
                <w:rFonts w:hint="eastAsia" w:ascii="仿宋" w:hAnsi="仿宋" w:eastAsia="仿宋" w:cs="仿宋"/>
                <w:szCs w:val="21"/>
              </w:rPr>
              <w:t>开展完成各项工作任务完成率，实现对全省宣传文化事业发展的促进推动作用。</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38"/>
        <w:gridCol w:w="2295"/>
        <w:gridCol w:w="2055"/>
        <w:gridCol w:w="3330"/>
        <w:gridCol w:w="1890"/>
        <w:gridCol w:w="21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3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66"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完成业务次数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全年完成专项业务次数</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8个</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工作质量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工作验收质量达标率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按照要求和计划完成工作的项目在所有预算项目中的比例（百分比）</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≤129.48万元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3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vMerge w:val="continue"/>
            <w:shd w:val="clear" w:color="auto" w:fill="auto"/>
            <w:vAlign w:val="center"/>
          </w:tcPr>
          <w:p>
            <w:pPr>
              <w:spacing w:line="300" w:lineRule="exact"/>
              <w:jc w:val="center"/>
              <w:rPr>
                <w:rFonts w:ascii="仿宋" w:hAnsi="仿宋" w:eastAsia="仿宋" w:cs="仿宋"/>
                <w:szCs w:val="21"/>
              </w:rPr>
            </w:pP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提供服务次数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提供服务次数</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≥1次</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3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周围居民满意度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工作周围居民对该工作满意数量占总数的比例。</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jc w:val="left"/>
        <w:rPr>
          <w:rFonts w:ascii="Times New Roman" w:hAnsi="Times New Roman" w:eastAsia="方正仿宋_GBK" w:cs="Times New Roman"/>
          <w:bCs/>
          <w:sz w:val="28"/>
          <w:szCs w:val="28"/>
        </w:rPr>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12</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取水设施项目(一般）绩效目标表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37"/>
        <w:gridCol w:w="1173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3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3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1.通过对燕郊高新区区域内取水设施建设项目的提升，促进燕郊高新区稳定发展。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2.通过对燕郊高新区区域内取水设施建设项目的提升，促进京津冀协同发展性步伐加快。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3.通过对燕郊高新区区域内取水设施建设项目的提升，满足人民需求。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53"/>
        <w:gridCol w:w="2280"/>
        <w:gridCol w:w="2070"/>
        <w:gridCol w:w="3315"/>
        <w:gridCol w:w="1905"/>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5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7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0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铺设给水管道长度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铺设给水管道长度</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11400米</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施工合同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≤283.13万元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90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13</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城市绿化管理费（基金）绩效目标表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1.通过项目的开展实现绿水青山就是金山银山等战略，保障园林绿化道路养护及公园养护的实现。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2.通过项目的开展完成园林绿化日常养护质量，实现园林绿化养护日常管理社会影响。</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250"/>
        <w:gridCol w:w="2070"/>
        <w:gridCol w:w="3330"/>
        <w:gridCol w:w="1890"/>
        <w:gridCol w:w="21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7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9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66"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道路、公园园林绿化养护考核</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≥11次</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园林绿化日常养护质量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按照相关标准在园林绿化养护考核达标率</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达标</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完成资金支付时效</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按照合同约定支付养护费用</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≤4次</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≤2000万元</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公园日常管理社会影响</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按照相关标准在园林绿化日常养护中达到相关社会观赏要求</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居民满意度%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满意与比较满意的总人数</w:t>
            </w:r>
          </w:p>
        </w:tc>
        <w:tc>
          <w:tcPr>
            <w:tcW w:w="189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66"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14</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高新区企业扶持资金（廊财建字[2019]18号）绩效目标表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1.通过促进企业发展，增加企业产值。</w:t>
            </w:r>
          </w:p>
          <w:p>
            <w:pPr>
              <w:spacing w:line="300" w:lineRule="exact"/>
              <w:jc w:val="left"/>
              <w:rPr>
                <w:rFonts w:ascii="仿宋" w:hAnsi="仿宋" w:eastAsia="仿宋" w:cs="仿宋"/>
                <w:szCs w:val="21"/>
              </w:rPr>
            </w:pPr>
            <w:r>
              <w:rPr>
                <w:rFonts w:hint="eastAsia" w:ascii="仿宋" w:hAnsi="仿宋" w:eastAsia="仿宋" w:cs="仿宋"/>
                <w:szCs w:val="21"/>
              </w:rPr>
              <w:t>2.通过促进企业发展，加快区内经济发展。</w:t>
            </w:r>
          </w:p>
          <w:p>
            <w:pPr>
              <w:spacing w:line="300" w:lineRule="exact"/>
              <w:jc w:val="left"/>
              <w:rPr>
                <w:rFonts w:ascii="仿宋" w:hAnsi="仿宋" w:eastAsia="仿宋" w:cs="仿宋"/>
                <w:szCs w:val="21"/>
              </w:rPr>
            </w:pPr>
            <w:r>
              <w:rPr>
                <w:rFonts w:hint="eastAsia" w:ascii="仿宋" w:hAnsi="仿宋" w:eastAsia="仿宋" w:cs="仿宋"/>
                <w:szCs w:val="21"/>
              </w:rPr>
              <w:t>3.通过促进企业发展，加快科技创新建设。</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250"/>
        <w:gridCol w:w="2055"/>
        <w:gridCol w:w="3330"/>
        <w:gridCol w:w="1920"/>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2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扶持企业数量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获得奖励扶持的科技企业、瞪羚企业和承担科技项目企业的数量</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≤10个</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综合事项管理工作完成率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实际完成业务管理工作占完成业务工作的比率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企业利润增长率（%）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企业利润额同比增长的比率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宣传政策知晓率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反映政策宣贯效果</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受益群体调查中，满意和较满意的人数占比</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15</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机关运行经费绩效目标表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1.通过日常维护，保障机关的正常运行</w:t>
            </w:r>
          </w:p>
          <w:p>
            <w:pPr>
              <w:spacing w:line="300" w:lineRule="exact"/>
              <w:jc w:val="left"/>
              <w:rPr>
                <w:rFonts w:ascii="仿宋" w:hAnsi="仿宋" w:eastAsia="仿宋" w:cs="仿宋"/>
                <w:szCs w:val="21"/>
              </w:rPr>
            </w:pPr>
            <w:r>
              <w:rPr>
                <w:rFonts w:hint="eastAsia" w:ascii="仿宋" w:hAnsi="仿宋" w:eastAsia="仿宋" w:cs="仿宋"/>
                <w:szCs w:val="21"/>
              </w:rPr>
              <w:t>2.通过零星维修改造，维护开发区基础设施</w:t>
            </w:r>
          </w:p>
          <w:p>
            <w:pPr>
              <w:spacing w:line="300" w:lineRule="exact"/>
              <w:jc w:val="left"/>
              <w:rPr>
                <w:rFonts w:ascii="仿宋" w:hAnsi="仿宋" w:eastAsia="仿宋" w:cs="仿宋"/>
                <w:szCs w:val="21"/>
              </w:rPr>
            </w:pPr>
            <w:r>
              <w:rPr>
                <w:rFonts w:hint="eastAsia" w:ascii="仿宋" w:hAnsi="仿宋" w:eastAsia="仿宋" w:cs="仿宋"/>
                <w:szCs w:val="21"/>
              </w:rPr>
              <w:t>3.通过日常运行正常，保障人员稳定，工作顺利开展。</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250"/>
        <w:gridCol w:w="2070"/>
        <w:gridCol w:w="3315"/>
        <w:gridCol w:w="1920"/>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7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2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维修单反馈单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正常运转率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工作完成及时率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维修反馈单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≤150万元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机关正常运转</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正常运转</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高新区年度计划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7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16</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城市绿化管理费（一般）绩效目标表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1.通过项目的开展实现绿水青山就是金山银山等战略，保障园林绿化道路养护及公园养护的实现。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2.通过项目的开展完成园林绿化日常养护质量，实现园林绿化养护日常管理社会影响。</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65"/>
        <w:gridCol w:w="2025"/>
        <w:gridCol w:w="3330"/>
        <w:gridCol w:w="1920"/>
        <w:gridCol w:w="21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6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92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151"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道路、公园园林绿化养护考核</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≥11次</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园林绿化日常养护质量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按照相关标准在园林绿化养护考核达标率</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达标</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完成资金支付时效</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按照合同约定支付养护费用</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≤4次</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≤3548.91万元</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公园日常管理社会影响</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按照相关标准在园林绿化日常养护中达到相关社会观赏要求</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居民满意度%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满意与比较满意的总人数</w:t>
            </w:r>
          </w:p>
        </w:tc>
        <w:tc>
          <w:tcPr>
            <w:tcW w:w="192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151"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17</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项目进场综合治理经费项目绩效目标表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1.充分发挥燕郊的各种优势，选准方向，加大力度，提高招商引资的实效性，做到内挖外引、内外结合。</w:t>
            </w:r>
          </w:p>
          <w:p>
            <w:pPr>
              <w:spacing w:line="300" w:lineRule="exact"/>
              <w:jc w:val="left"/>
              <w:rPr>
                <w:rFonts w:ascii="仿宋" w:hAnsi="仿宋" w:eastAsia="仿宋" w:cs="仿宋"/>
                <w:szCs w:val="21"/>
              </w:rPr>
            </w:pPr>
            <w:r>
              <w:rPr>
                <w:rFonts w:hint="eastAsia" w:ascii="仿宋" w:hAnsi="仿宋" w:eastAsia="仿宋" w:cs="仿宋"/>
                <w:szCs w:val="21"/>
              </w:rPr>
              <w:t>2.通过项目的开展实现引进企业数量等战略，保障引进的企业数量的实现。</w:t>
            </w:r>
          </w:p>
          <w:p>
            <w:pPr>
              <w:spacing w:line="300" w:lineRule="exact"/>
              <w:jc w:val="left"/>
              <w:rPr>
                <w:rFonts w:ascii="仿宋" w:hAnsi="仿宋" w:eastAsia="仿宋" w:cs="仿宋"/>
                <w:szCs w:val="21"/>
              </w:rPr>
            </w:pPr>
            <w:r>
              <w:rPr>
                <w:rFonts w:hint="eastAsia" w:ascii="仿宋" w:hAnsi="仿宋" w:eastAsia="仿宋" w:cs="仿宋"/>
                <w:szCs w:val="21"/>
              </w:rPr>
              <w:t>3.为确保项目顺利进场，重点活动，重要领导参观提供后勤保障服务。</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50"/>
        <w:gridCol w:w="2040"/>
        <w:gridCol w:w="3330"/>
        <w:gridCol w:w="180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0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引进企业数量（家）</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投入资金引进的企业数量</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工作正常开展率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工作能正常开展的（百分比）</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开工方案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业务处理及时性</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业务处理及时性</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≤7天</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≤169.2万元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对经济发展的促进作用</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对经济发展的促进作用</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18</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招商引资绩效目标表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1.通过项目的开展实现公平营商环境等战略，保障招商引资的确切实行的实现。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2.通过项目的开展完成举办招商引资活动，实现参展企业现场签订意向合同。</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50"/>
        <w:gridCol w:w="205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举办招商引资活动数量（个）</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举办招商引资活动的数量</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≥3个</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促成合作意向数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工作完成率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工作任务完成及时率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工作任务完成及时率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参展企业现场签订意向合同金额（</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参展企业意向成交额</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提供优质服务</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提供优质服务</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受益企业调查</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调查表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19</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燕宁公司地上建筑物补偿款绩效目标表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1.拆迁完成</w:t>
            </w:r>
          </w:p>
          <w:p>
            <w:pPr>
              <w:spacing w:line="300" w:lineRule="exact"/>
              <w:jc w:val="left"/>
              <w:rPr>
                <w:rFonts w:ascii="仿宋" w:hAnsi="仿宋" w:eastAsia="仿宋" w:cs="仿宋"/>
                <w:szCs w:val="21"/>
              </w:rPr>
            </w:pPr>
            <w:r>
              <w:rPr>
                <w:rFonts w:hint="eastAsia" w:ascii="仿宋" w:hAnsi="仿宋" w:eastAsia="仿宋" w:cs="仿宋"/>
                <w:szCs w:val="21"/>
              </w:rPr>
              <w:t>2.拨付补偿款</w:t>
            </w:r>
          </w:p>
          <w:p>
            <w:pPr>
              <w:spacing w:line="300" w:lineRule="exact"/>
              <w:jc w:val="left"/>
              <w:rPr>
                <w:rFonts w:ascii="仿宋" w:hAnsi="仿宋" w:eastAsia="仿宋" w:cs="仿宋"/>
                <w:szCs w:val="21"/>
              </w:rPr>
            </w:pPr>
            <w:r>
              <w:rPr>
                <w:rFonts w:hint="eastAsia" w:ascii="仿宋" w:hAnsi="仿宋" w:eastAsia="仿宋" w:cs="仿宋"/>
                <w:szCs w:val="21"/>
              </w:rPr>
              <w:t>3.推进小吃街改造</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50"/>
        <w:gridCol w:w="205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拆迁完成数量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拆迁完成数量</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评估报告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拆除完成率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拆除完成率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土地重新出让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拆除完成及时率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拆除完成及时率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土地重新出让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成本控制在预算控制数内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≤66.99万元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评估报告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提升市容市貌</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规划方案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社会影响力</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在全区产生的重要影响，得到广大受众的充分认可。</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群众对环境卫生的整体满意度</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20</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考古基地运营费绩效目标表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1.通过项目的开展实现项目安全等战略，保障日常工作正常运转的实现。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2.通过项目的开展实现日常巡查等战略，保障基地正常运行的实现。</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50"/>
        <w:gridCol w:w="205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5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5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完成服务对象个数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完成服务对象个数</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1个</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日常巡查维修及时率（%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有记录的巡查维修到场次数占规定巡查维修到场次数的比率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巡查记录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工作完成及时率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反应工作完成及时率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考核管理办法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≤1360万元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已支持的新建或改扩建公共文化设</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反映参观使用各类公共文化设施的受众数量增长情况</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5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5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员工满意度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员工满意比率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21</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污水处理厂运营费（基金）绩效目标表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1.通过项目的开展实现净化水资源等战略，保障绿水青山就是金山银山的实现。</w:t>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2.通过项目的开展完成实际完成量，实现城镇环境。</w:t>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p>
          <w:p>
            <w:pPr>
              <w:spacing w:line="300" w:lineRule="exact"/>
              <w:jc w:val="left"/>
              <w:rPr>
                <w:rFonts w:ascii="仿宋" w:hAnsi="仿宋" w:eastAsia="仿宋" w:cs="仿宋"/>
                <w:szCs w:val="21"/>
              </w:rPr>
            </w:pPr>
            <w:r>
              <w:rPr>
                <w:rFonts w:hint="eastAsia" w:ascii="仿宋" w:hAnsi="仿宋" w:eastAsia="仿宋" w:cs="仿宋"/>
                <w:szCs w:val="21"/>
              </w:rPr>
              <w:t>3.通过项目的开始优化营商环境。</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265"/>
        <w:gridCol w:w="2040"/>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26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20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污水处理量</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工作验收合格率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污水处理率</w:t>
            </w:r>
          </w:p>
          <w:p>
            <w:pPr>
              <w:spacing w:line="300" w:lineRule="exact"/>
              <w:jc w:val="left"/>
              <w:rPr>
                <w:rFonts w:ascii="仿宋" w:hAnsi="仿宋" w:eastAsia="仿宋" w:cs="仿宋"/>
                <w:szCs w:val="21"/>
              </w:rPr>
            </w:pP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污水处理及时率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p>
            <w:pPr>
              <w:spacing w:line="300" w:lineRule="exact"/>
              <w:jc w:val="left"/>
              <w:rPr>
                <w:rFonts w:ascii="仿宋" w:hAnsi="仿宋" w:eastAsia="仿宋" w:cs="仿宋"/>
                <w:szCs w:val="21"/>
              </w:rPr>
            </w:pP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≤3900万元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受益人口</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80万</w:t>
            </w:r>
          </w:p>
          <w:p>
            <w:pPr>
              <w:spacing w:line="300" w:lineRule="exact"/>
              <w:jc w:val="left"/>
              <w:rPr>
                <w:rFonts w:ascii="仿宋" w:hAnsi="仿宋" w:eastAsia="仿宋" w:cs="仿宋"/>
                <w:szCs w:val="21"/>
              </w:rPr>
            </w:pP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26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20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受益对象满意度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反应受益对象满意率情况</w:t>
            </w:r>
          </w:p>
          <w:p>
            <w:pPr>
              <w:spacing w:line="300" w:lineRule="exact"/>
              <w:jc w:val="left"/>
              <w:rPr>
                <w:rFonts w:ascii="仿宋" w:hAnsi="仿宋" w:eastAsia="仿宋" w:cs="仿宋"/>
                <w:szCs w:val="21"/>
              </w:rPr>
            </w:pP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22</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高新区不可预见处置费绩效目标表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1.通过项目的开展实现社会稳定等战略，保障社会和谐发展的实现（最终的宏观效果）。</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2.通过项目的开展完成突发事件处置率，实现社会稳定。</w:t>
            </w:r>
          </w:p>
          <w:p>
            <w:pPr>
              <w:spacing w:line="300" w:lineRule="exact"/>
              <w:jc w:val="left"/>
              <w:rPr>
                <w:rFonts w:ascii="仿宋" w:hAnsi="仿宋" w:eastAsia="仿宋" w:cs="仿宋"/>
                <w:szCs w:val="21"/>
              </w:rPr>
            </w:pPr>
            <w:r>
              <w:rPr>
                <w:rFonts w:hint="eastAsia" w:ascii="仿宋" w:hAnsi="仿宋" w:eastAsia="仿宋" w:cs="仿宋"/>
                <w:szCs w:val="21"/>
              </w:rPr>
              <w:t>3.及时有效处理高新区城市、社会管理、招商、维稳方面各种不可预见事件的支出</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处置完成突发事件数量占突发事件数量的比率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综合事务管理工作完成情况</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突发事件处置及时性（小时）</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突发事件处置及时性（小时）</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≤72小时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≤210万元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促进社会稳定水平逐步提高</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23</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妇女联合会专项经费绩效目标表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1.通过项目的开展，保障区机关女性同志的身体健康，提升区内女性职工的综合素质，推进企业妇女组织建设。</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2.通过项目的开展完成高新区内妇女组织的建设，全面提升女性的综合素质和身体健康。</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宣传册册数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制作女性健康知识宣传册</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≥2000册</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检测人数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完成区机关内所有女性职工两癌筛查</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≥240人</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人员登记表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各项任务完成及时率（%）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各项任务完成及时率（%）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资金成本</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资金成本</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推进企业妇女组织建设</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推进企业妇女组织建设</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有效推进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24</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文教社会事务业务费（教育）绩效目标表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1.通过项目的开展完成率，实现社会影响力。</w:t>
            </w:r>
          </w:p>
          <w:p>
            <w:pPr>
              <w:spacing w:line="300" w:lineRule="exact"/>
              <w:jc w:val="left"/>
              <w:rPr>
                <w:rFonts w:ascii="仿宋" w:hAnsi="仿宋" w:eastAsia="仿宋" w:cs="仿宋"/>
                <w:szCs w:val="21"/>
              </w:rPr>
            </w:pPr>
            <w:r>
              <w:rPr>
                <w:rFonts w:hint="eastAsia" w:ascii="仿宋" w:hAnsi="仿宋" w:eastAsia="仿宋" w:cs="仿宋"/>
                <w:szCs w:val="21"/>
              </w:rPr>
              <w:t>2.通过项目的开展实现教育等战略，保障教育水平的实现。</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支付数量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支付年度预算资金企业数量</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≥2个</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义务教育毛入学率（%）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完成租金支付</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该年度义务教育招生文件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按计划支出资金情况</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≤4074.12万元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社会影响力</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得到广大受众的认可。</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群众满意数量占总数的比例。</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25</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文体活动项目（一般）绩效目标表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1.通过对燕郊高新区区域内文体活动建设项目的提升，促进燕郊高新区稳定发展。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2.通过对燕郊高新区区域内文体活动建设项目的提升，促进京津冀协同发展性步伐加快。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3.通过对燕郊高新区区域内文体活动建设项目的提升，满足人民需求。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工程主体建设面积</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工程主体建设面积</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2378.66平方米</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≤584.49万元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26</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其他基础设施建设项目（基金）绩效目标表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1.通过对燕郊高新区区域内其他基础设施建设项目的提升，促进燕郊高新区稳定发展。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2.通过对燕郊高新区区域内其他基础设施建设项目的提升，促进京津冀协同发展性步伐加快。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3.通过对燕郊高新区区域内其他基础设施建设项目的提升，满足人民需求。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15"/>
        <w:gridCol w:w="180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0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地道桥宽度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地道桥宽度</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地道桥拓宽为双孔18米+18米宽钢筋混凝土框架桥</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≤6964.76万元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27</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取水设施项目（基金）绩效目标表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1.通过对燕郊高新区区域内取水设施建设项目的提升，促进燕郊高新区稳定发展。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2.通过对燕郊高新区区域内取水设施建设项目的提升，促进京津冀协同发展性步伐加快。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3.通过对燕郊高新区区域内取水设施建设项目的提升，满足人民需求。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10"/>
        <w:gridCol w:w="1995"/>
        <w:gridCol w:w="3315"/>
        <w:gridCol w:w="180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1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0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铺设给水管道长度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铺设给水管道长度</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11400米</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施工合同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≤50.88万元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1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28</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财政业务经费绩效目标表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1.通过项目的开展实现银行付款手续费等管理等战略，保障社会稳定水平的实现。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2.通过项目的开展完成业务数，实现社会稳定水平。</w:t>
            </w:r>
          </w:p>
          <w:p>
            <w:pPr>
              <w:spacing w:line="300" w:lineRule="exact"/>
              <w:jc w:val="left"/>
              <w:rPr>
                <w:rFonts w:ascii="仿宋" w:hAnsi="仿宋" w:eastAsia="仿宋" w:cs="仿宋"/>
                <w:szCs w:val="21"/>
              </w:rPr>
            </w:pPr>
            <w:r>
              <w:rPr>
                <w:rFonts w:hint="eastAsia" w:ascii="仿宋" w:hAnsi="仿宋" w:eastAsia="仿宋" w:cs="仿宋"/>
                <w:szCs w:val="21"/>
              </w:rPr>
              <w:t>3.通过项目的开展完成业务数，实现经济效益。</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25"/>
        <w:gridCol w:w="1995"/>
        <w:gridCol w:w="3315"/>
        <w:gridCol w:w="180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0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业务数(件)</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当年办结的业务数量</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综合事务管理工作完成情况</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评审业务完结及时性</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评审业务完结及时性</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根据评审政策要求及时审结</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评审业务情况表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≤330万元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经济发展有效促进经济发展</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资金及时拨付维持社会稳定</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29</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城市基础设施运行维护费（基金）绩效目标表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1.通过项目的开展实现工程完工等战略，保障验收工程量的实现。</w:t>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2.通过项目的开展完成工程量完成率，实现基础设施建成后的利用、使用情况 。</w:t>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r>
              <w:rPr>
                <w:rFonts w:hint="eastAsia" w:ascii="仿宋" w:hAnsi="仿宋" w:eastAsia="仿宋" w:cs="仿宋"/>
                <w:szCs w:val="21"/>
              </w:rPr>
              <w:tab/>
            </w:r>
          </w:p>
          <w:p>
            <w:pPr>
              <w:spacing w:line="300" w:lineRule="exact"/>
              <w:jc w:val="left"/>
              <w:rPr>
                <w:rFonts w:ascii="仿宋" w:hAnsi="仿宋" w:eastAsia="仿宋" w:cs="仿宋"/>
                <w:szCs w:val="21"/>
              </w:rPr>
            </w:pPr>
            <w:r>
              <w:rPr>
                <w:rFonts w:hint="eastAsia" w:ascii="仿宋" w:hAnsi="仿宋" w:eastAsia="仿宋" w:cs="仿宋"/>
                <w:szCs w:val="21"/>
              </w:rPr>
              <w:t>3.通过项目的开展保障区内基础设施的正常运行。</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25"/>
        <w:gridCol w:w="1995"/>
        <w:gridCol w:w="3315"/>
        <w:gridCol w:w="180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1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80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工程量完成率（%）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实际完成工程量占计划完成工程量的比率</w:t>
            </w:r>
          </w:p>
          <w:p>
            <w:pPr>
              <w:spacing w:line="300" w:lineRule="exact"/>
              <w:jc w:val="left"/>
              <w:rPr>
                <w:rFonts w:ascii="仿宋" w:hAnsi="仿宋" w:eastAsia="仿宋" w:cs="仿宋"/>
                <w:szCs w:val="21"/>
              </w:rPr>
            </w:pP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工程验收合格率（%）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通过验收的工程量占建设、改造、修缮总量的比率</w:t>
            </w:r>
          </w:p>
          <w:p>
            <w:pPr>
              <w:spacing w:line="300" w:lineRule="exact"/>
              <w:jc w:val="left"/>
              <w:rPr>
                <w:rFonts w:ascii="仿宋" w:hAnsi="仿宋" w:eastAsia="仿宋" w:cs="仿宋"/>
                <w:szCs w:val="21"/>
              </w:rPr>
            </w:pP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项目按期完成率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"项目按期完成量占全部工程百分比</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p>
            <w:pPr>
              <w:spacing w:line="300" w:lineRule="exact"/>
              <w:jc w:val="left"/>
              <w:rPr>
                <w:rFonts w:ascii="仿宋" w:hAnsi="仿宋" w:eastAsia="仿宋" w:cs="仿宋"/>
                <w:szCs w:val="21"/>
              </w:rPr>
            </w:pP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≤3000万元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基础设施完好率（%）</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设备完好数量市场价值总额占设备总数量市场价值总额的比率</w:t>
            </w:r>
          </w:p>
          <w:p>
            <w:pPr>
              <w:spacing w:line="300" w:lineRule="exact"/>
              <w:jc w:val="left"/>
              <w:rPr>
                <w:rFonts w:ascii="仿宋" w:hAnsi="仿宋" w:eastAsia="仿宋" w:cs="仿宋"/>
                <w:szCs w:val="21"/>
              </w:rPr>
            </w:pP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1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p>
            <w:pPr>
              <w:spacing w:line="300" w:lineRule="exact"/>
              <w:jc w:val="left"/>
              <w:rPr>
                <w:rFonts w:ascii="仿宋" w:hAnsi="仿宋" w:eastAsia="仿宋" w:cs="仿宋"/>
                <w:szCs w:val="21"/>
              </w:rPr>
            </w:pPr>
          </w:p>
        </w:tc>
        <w:tc>
          <w:tcPr>
            <w:tcW w:w="180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30</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城市容貌环境综合治理绩效目标表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1.通过项目的开展实现开发区正常发展等战略，保障开发区发展的实现。</w:t>
            </w:r>
          </w:p>
          <w:p>
            <w:pPr>
              <w:spacing w:line="300" w:lineRule="exact"/>
              <w:jc w:val="left"/>
              <w:rPr>
                <w:rFonts w:ascii="仿宋" w:hAnsi="仿宋" w:eastAsia="仿宋" w:cs="仿宋"/>
                <w:szCs w:val="21"/>
              </w:rPr>
            </w:pPr>
            <w:r>
              <w:rPr>
                <w:rFonts w:hint="eastAsia" w:ascii="仿宋" w:hAnsi="仿宋" w:eastAsia="仿宋" w:cs="仿宋"/>
                <w:szCs w:val="21"/>
              </w:rPr>
              <w:t>2.为保证城市管理工作正常开展。</w:t>
            </w:r>
          </w:p>
          <w:p>
            <w:pPr>
              <w:spacing w:line="300" w:lineRule="exact"/>
              <w:jc w:val="left"/>
              <w:rPr>
                <w:rFonts w:ascii="仿宋" w:hAnsi="仿宋" w:eastAsia="仿宋" w:cs="仿宋"/>
                <w:szCs w:val="21"/>
              </w:rPr>
            </w:pPr>
            <w:r>
              <w:rPr>
                <w:rFonts w:hint="eastAsia" w:ascii="仿宋" w:hAnsi="仿宋" w:eastAsia="仿宋" w:cs="仿宋"/>
                <w:szCs w:val="21"/>
              </w:rPr>
              <w:t>3.确保城市管理及日常巡查工作，对队员统一培训；负责法律、法规宣传教育，对办公楼进行日行维护。</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53"/>
        <w:gridCol w:w="234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5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执法行动次数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违法建筑拆除行动次数</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≥15次</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违章建筑拆除后验收结果</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合同质量要求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接到群众举报件完成情况</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≤335万元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基本公共卫生服务水平</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持续保持城市整洁的工作效果</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市民对城市管理工作的满意程度</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31</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科技产业扶持引导基金绩效目标表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1.通过促进企业发展，增加企业产值。</w:t>
            </w:r>
          </w:p>
          <w:p>
            <w:pPr>
              <w:spacing w:line="300" w:lineRule="exact"/>
              <w:jc w:val="left"/>
              <w:rPr>
                <w:rFonts w:ascii="仿宋" w:hAnsi="仿宋" w:eastAsia="仿宋" w:cs="仿宋"/>
                <w:szCs w:val="21"/>
              </w:rPr>
            </w:pPr>
            <w:r>
              <w:rPr>
                <w:rFonts w:hint="eastAsia" w:ascii="仿宋" w:hAnsi="仿宋" w:eastAsia="仿宋" w:cs="仿宋"/>
                <w:szCs w:val="21"/>
              </w:rPr>
              <w:t>2.通过促进企业发展，加快区内经济发展。</w:t>
            </w:r>
          </w:p>
          <w:p>
            <w:pPr>
              <w:spacing w:line="300" w:lineRule="exact"/>
              <w:jc w:val="left"/>
              <w:rPr>
                <w:rFonts w:ascii="仿宋" w:hAnsi="仿宋" w:eastAsia="仿宋" w:cs="仿宋"/>
                <w:szCs w:val="21"/>
              </w:rPr>
            </w:pPr>
            <w:r>
              <w:rPr>
                <w:rFonts w:hint="eastAsia" w:ascii="仿宋" w:hAnsi="仿宋" w:eastAsia="仿宋" w:cs="仿宋"/>
                <w:szCs w:val="21"/>
              </w:rPr>
              <w:t>3.通过促进企业发展，加快科技创新建设。</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53"/>
        <w:gridCol w:w="2340"/>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5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扶持企业数量</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获得奖励扶持的科技企业、瞪羚企业和承担科技项目企业的数量</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≥10个</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资金支付率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资金支付率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5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宣传政策知晓率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反映政策宣贯效果</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5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受益群体调查中，满意和较满意人数的占比</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32</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文教社会事务业务费（文化）绩效目标表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52"/>
        <w:gridCol w:w="1172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5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2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1.通过项目的开展实现教育等战略，保障教育水平的实现。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2.通过项目的开展完成率，实现社会影响力。</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25"/>
        <w:gridCol w:w="1995"/>
        <w:gridCol w:w="3330"/>
        <w:gridCol w:w="178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9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3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8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举办活动场次</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举办活动场次</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≥2次</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文化交流活动覆盖人数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文化交流活动覆盖人数</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≥30人</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签到表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工作任务完成及时率</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工作任务完成及时率</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≤161.45万元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不涉及</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提供服务次数</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提供服务次数</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 xml:space="preserve">≥1次 </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9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活动参与人员满意度</w:t>
            </w:r>
          </w:p>
        </w:tc>
        <w:tc>
          <w:tcPr>
            <w:tcW w:w="333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活动参与人员满意度</w:t>
            </w:r>
          </w:p>
        </w:tc>
        <w:tc>
          <w:tcPr>
            <w:tcW w:w="178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33</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安全生产经费绩效目标表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推动企业严格贯彻安全生产法律法规，企业主体责任得到有效落实、企业本质安全水平得到显著提高，提高干部队伍素质，提高业务水平,有效防范风险隐患，为维护人民群众生命财产安全和助力经济发展提供坚强保障。</w:t>
            </w:r>
          </w:p>
          <w:p>
            <w:pPr>
              <w:spacing w:line="300" w:lineRule="exact"/>
              <w:jc w:val="left"/>
              <w:rPr>
                <w:rFonts w:ascii="仿宋" w:hAnsi="仿宋" w:eastAsia="仿宋" w:cs="仿宋"/>
                <w:szCs w:val="21"/>
              </w:rPr>
            </w:pPr>
            <w:r>
              <w:rPr>
                <w:rFonts w:hint="eastAsia" w:ascii="仿宋" w:hAnsi="仿宋" w:eastAsia="仿宋" w:cs="仿宋"/>
                <w:szCs w:val="21"/>
              </w:rPr>
              <w:t>2.通过项目的开展提高安全管理水平，防风险、除隐患遏事故，营造安全环境。</w:t>
            </w:r>
          </w:p>
          <w:p>
            <w:pPr>
              <w:spacing w:line="300" w:lineRule="exact"/>
              <w:jc w:val="left"/>
              <w:rPr>
                <w:rFonts w:ascii="仿宋" w:hAnsi="仿宋" w:eastAsia="仿宋" w:cs="仿宋"/>
                <w:szCs w:val="21"/>
              </w:rPr>
            </w:pPr>
            <w:r>
              <w:rPr>
                <w:rFonts w:hint="eastAsia" w:ascii="仿宋" w:hAnsi="仿宋" w:eastAsia="仿宋" w:cs="仿宋"/>
                <w:szCs w:val="21"/>
              </w:rPr>
              <w:t>3.通过安全宣传、培训、聘请安全评价机构专家协助综合监管执法，购置执法装备，采购应急救援装备，筹建视频会议等，促进高新区的安全生产形势稳定。</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生产经营单位执法检查率（%）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本年实际执法检查的生产经营单位数占应检查单位总数的比率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风险辨识（%）</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实际完成风险识别的生产经营单位数占应开展风险辨识经营单位总数的比例</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隐患排查率（%）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实际隐患排查整治完成数量占实际隐患排查总数的比例</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≤195万元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落实企业主体责任</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提升企业安全管理水平，及时消除安全隐患。</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34</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高新区不可预见处置费绩效目标表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52"/>
        <w:gridCol w:w="1172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5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2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1.通过项目的开展实现社会稳定等战略，保障社会和谐发展的实现（最终的宏观效果）。</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2.通过项目的开展完成突发事件处置率，实现社会稳定。</w:t>
            </w:r>
          </w:p>
          <w:p>
            <w:pPr>
              <w:spacing w:line="300" w:lineRule="exact"/>
              <w:jc w:val="left"/>
              <w:rPr>
                <w:rFonts w:ascii="仿宋" w:hAnsi="仿宋" w:eastAsia="仿宋" w:cs="仿宋"/>
                <w:szCs w:val="21"/>
              </w:rPr>
            </w:pPr>
            <w:r>
              <w:rPr>
                <w:rFonts w:hint="eastAsia" w:ascii="仿宋" w:hAnsi="仿宋" w:eastAsia="仿宋" w:cs="仿宋"/>
                <w:szCs w:val="21"/>
              </w:rPr>
              <w:t>3.及时有效处理高新区城市、社会管理、招商、维稳方面各种不可预见事件的支出</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处置完成突发事件数量占突发事件数量的比率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综合事务管理工作完成情况</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突发事件处置及时性（小时）</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突发事件处置及时性（小时）</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≤72小时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突发事件处置登记表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≤210万元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促进社会稳定水平逐步提高</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35</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环境卫生维护费（基金）绩效目标表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1.根据合同制订垃圾清扫考核方案，对环卫企业在区内垃圾清扫服务进监督管理。</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2.通过项目的开展完成覆盖率，实现社会稳定水平。</w:t>
            </w:r>
          </w:p>
          <w:p>
            <w:pPr>
              <w:spacing w:line="300" w:lineRule="exact"/>
              <w:jc w:val="left"/>
              <w:rPr>
                <w:rFonts w:ascii="仿宋" w:hAnsi="仿宋" w:eastAsia="仿宋" w:cs="仿宋"/>
                <w:szCs w:val="21"/>
              </w:rPr>
            </w:pPr>
            <w:r>
              <w:rPr>
                <w:rFonts w:hint="eastAsia" w:ascii="仿宋" w:hAnsi="仿宋" w:eastAsia="仿宋" w:cs="仿宋"/>
                <w:szCs w:val="21"/>
              </w:rPr>
              <w:t>3.通过该项目使得燕郊人民居住环境予以改善</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城区环境整洁</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城区清扫整洁度</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覆盖率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全年城乡村街清扫覆盖情况</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服务费支付</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根据考核结果在时限内拨付服务费用</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≤15天</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≤7006万元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社会影响力</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在全区产生的重要影响，得到广大受众的充分认可。</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群众对环境卫生的整体满意度</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36</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环保治理项目（基金）绩效目标表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1.通过对燕郊高新区区域内环保治理建设项目的提升，促进燕郊高新区稳定发展。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2.通过对燕郊高新区区域内环保治理建设项目的提升，促进京津冀协同发展性步伐加快。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3.通过对燕郊高新区区域内环保治理建设项目的提升，满足人民需求。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日处理污水数量</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日处理污水数量</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≤10万吨</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≤5695.46万元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37</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环境卫生维护费（一般）绩效目标表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1.根据合同制订垃圾清扫考核方案，对环卫企业在区内垃圾清扫服务进监督管理。</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2.通过项目的开展完成覆盖率，实现社会稳定水平。</w:t>
            </w:r>
          </w:p>
          <w:p>
            <w:pPr>
              <w:spacing w:line="300" w:lineRule="exact"/>
              <w:jc w:val="left"/>
              <w:rPr>
                <w:rFonts w:ascii="仿宋" w:hAnsi="仿宋" w:eastAsia="仿宋" w:cs="仿宋"/>
                <w:szCs w:val="21"/>
              </w:rPr>
            </w:pPr>
            <w:r>
              <w:rPr>
                <w:rFonts w:hint="eastAsia" w:ascii="仿宋" w:hAnsi="仿宋" w:eastAsia="仿宋" w:cs="仿宋"/>
                <w:szCs w:val="21"/>
              </w:rPr>
              <w:t>3.通过项目改善燕郊居民的生活环境。</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城区环境整洁</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城区清扫整洁度</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覆盖率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全年城乡村街清扫覆盖情况</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服务费支付</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根据考核结果在时限内拨付服务费用</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≤15天</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≤7006万元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社会影响力</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在全区产生的重要影响，得到广大受众的充分认可。</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群众对环境卫生的整体满意度</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≥95百分比</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38</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宣传策划中心专项经费绩效目标表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1.通过本项目实施，保障全区对外宣传、形象宣传、项目包装、活动策划、舆情监测及新闻发布及门户网站运营维护管理工作顺利完成.</w:t>
            </w:r>
          </w:p>
          <w:p>
            <w:pPr>
              <w:spacing w:line="300" w:lineRule="exact"/>
              <w:jc w:val="left"/>
              <w:rPr>
                <w:rFonts w:ascii="仿宋" w:hAnsi="仿宋" w:eastAsia="仿宋" w:cs="仿宋"/>
                <w:szCs w:val="21"/>
              </w:rPr>
            </w:pPr>
            <w:r>
              <w:rPr>
                <w:rFonts w:hint="eastAsia" w:ascii="仿宋" w:hAnsi="仿宋" w:eastAsia="仿宋" w:cs="仿宋"/>
                <w:szCs w:val="21"/>
              </w:rPr>
              <w:t>2.通过本项目实施，保障全区对外宣传、形象宣传、项目包装、活动策划、舆情监测及新闻发布及门户网站运营维护管理工作顺利完成，从而改善营商环境。</w:t>
            </w:r>
          </w:p>
          <w:p>
            <w:pPr>
              <w:spacing w:line="300" w:lineRule="exact"/>
              <w:jc w:val="left"/>
              <w:rPr>
                <w:rFonts w:ascii="仿宋" w:hAnsi="仿宋" w:eastAsia="仿宋" w:cs="仿宋"/>
                <w:szCs w:val="21"/>
              </w:rPr>
            </w:pPr>
            <w:r>
              <w:rPr>
                <w:rFonts w:hint="eastAsia" w:ascii="仿宋" w:hAnsi="仿宋" w:eastAsia="仿宋" w:cs="仿宋"/>
                <w:szCs w:val="21"/>
              </w:rPr>
              <w:t>3.通过本项目实施，保障全区对外宣传、形象宣传、项目包装、活动策划、舆情监测及新闻发布及门户网站运营维护管理工作顺利完成，从而提高高新区形象。</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45"/>
        <w:gridCol w:w="1773"/>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4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7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考察项目（如专题栏目宣传、报刊书籍征订、活动策划等工作）实际产出数与计划产出数的比率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质量达标率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考察项目（如专题栏目宣传、报刊书籍征订、活动策划等工作）完成的质量达标产出数与实际产出数的比率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完成及时率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考察本项目按计划完成情况等工作</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考察项目总成本是否超出计划成本的情况。</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≤208.5万元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燕郊高新区管委会影响力社会提高</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考察燕郊高新管委会影响力社会提高情况</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提高</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服务的改善与提升</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服务的改善与提升</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提升</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可持续影响指标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制度执行有效性</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考察项目实施是否符合相关管理规定</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符合</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受益方满意度</w:t>
            </w:r>
          </w:p>
        </w:tc>
        <w:tc>
          <w:tcPr>
            <w:tcW w:w="334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考察燕郊高新区管委会各部门满意度</w:t>
            </w:r>
          </w:p>
        </w:tc>
        <w:tc>
          <w:tcPr>
            <w:tcW w:w="1773"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39</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非公企业和社会组织党建工作经费绩效目标表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1.通过项目的开展完成保证组织党政活动的正常运行数量，实现社会稳定水平。</w:t>
            </w:r>
          </w:p>
          <w:p>
            <w:pPr>
              <w:spacing w:line="300" w:lineRule="exact"/>
              <w:jc w:val="left"/>
              <w:rPr>
                <w:rFonts w:ascii="仿宋" w:hAnsi="仿宋" w:eastAsia="仿宋" w:cs="仿宋"/>
                <w:szCs w:val="21"/>
              </w:rPr>
            </w:pPr>
            <w:r>
              <w:rPr>
                <w:rFonts w:hint="eastAsia" w:ascii="仿宋" w:hAnsi="仿宋" w:eastAsia="仿宋" w:cs="仿宋"/>
                <w:szCs w:val="21"/>
              </w:rPr>
              <w:t>2.通过项目的开展实现增强非公企业的党员活动等战略，保障群众满意度的实现。</w:t>
            </w:r>
          </w:p>
          <w:p>
            <w:pPr>
              <w:spacing w:line="300" w:lineRule="exact"/>
              <w:jc w:val="left"/>
              <w:rPr>
                <w:rFonts w:ascii="仿宋" w:hAnsi="仿宋" w:eastAsia="仿宋" w:cs="仿宋"/>
                <w:szCs w:val="21"/>
              </w:rPr>
            </w:pPr>
            <w:r>
              <w:rPr>
                <w:rFonts w:hint="eastAsia" w:ascii="仿宋" w:hAnsi="仿宋" w:eastAsia="仿宋" w:cs="仿宋"/>
                <w:szCs w:val="21"/>
              </w:rPr>
              <w:t>3.非公企业和社会组织党建工作专项经费主要用于召开会议、党务工作者培训，订阅党员教育报刊、资料和设备，工委机构日常办公等。</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组织宣传活动次数（次）</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组织宣传活动次数</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3次</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综合业务保障率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各项综合业务工作任务完成情况</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促进社会稳定水平逐步提高</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40</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发展规划项目绩效目标表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1.通过对燕郊高新区区域内发展规划项目的提升，促进燕郊高新区稳定发展。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2.通过对燕郊高新区区域内发展规划项目的提升，促进京津冀协同发展性步伐加快。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3.通过对燕郊高新区区域内发展规划项目的提升，满足人民需求。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评估区域面积</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区域面积</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≤81.9平方公里</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《2020年全省深化工程建设项目审批制度要点通知》（冀工改办[2020]18号）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≤1587.02万元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41</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机场处专项经费绩效目标表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1.通过集中整治和日常保洁相结合，保障进场路、办公区周边环境全年整洁干净。</w:t>
            </w:r>
          </w:p>
          <w:p>
            <w:pPr>
              <w:spacing w:line="300" w:lineRule="exact"/>
              <w:jc w:val="left"/>
              <w:rPr>
                <w:rFonts w:ascii="仿宋" w:hAnsi="仿宋" w:eastAsia="仿宋" w:cs="仿宋"/>
                <w:szCs w:val="21"/>
              </w:rPr>
            </w:pPr>
            <w:r>
              <w:rPr>
                <w:rFonts w:hint="eastAsia" w:ascii="仿宋" w:hAnsi="仿宋" w:eastAsia="仿宋" w:cs="仿宋"/>
                <w:szCs w:val="21"/>
              </w:rPr>
              <w:t>2.通过治理，实现路边灯杆路无污迹、无张贴，路面和沟渠无杂物、无垃圾。</w:t>
            </w:r>
          </w:p>
          <w:p>
            <w:pPr>
              <w:spacing w:line="300" w:lineRule="exact"/>
              <w:jc w:val="left"/>
              <w:rPr>
                <w:rFonts w:ascii="仿宋" w:hAnsi="仿宋" w:eastAsia="仿宋" w:cs="仿宋"/>
                <w:szCs w:val="21"/>
              </w:rPr>
            </w:pPr>
            <w:r>
              <w:rPr>
                <w:rFonts w:hint="eastAsia" w:ascii="仿宋" w:hAnsi="仿宋" w:eastAsia="仿宋" w:cs="仿宋"/>
                <w:szCs w:val="21"/>
              </w:rPr>
              <w:t>3.通过项目保障机场处正常运转。</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维护路灯数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维护路灯总数量</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174根</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路灯亮化率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路灯照明数量占路灯总数量的比率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按时完成率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维护路灯按时完成率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≤67.16万元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周边环境整洁度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达到预期目标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工作实际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周围群众满意度占总数比例</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42</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城市管理业务费绩效目标表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1.保证临时和派遣人员工资发放</w:t>
            </w:r>
          </w:p>
          <w:p>
            <w:pPr>
              <w:spacing w:line="300" w:lineRule="exact"/>
              <w:jc w:val="left"/>
              <w:rPr>
                <w:rFonts w:ascii="仿宋" w:hAnsi="仿宋" w:eastAsia="仿宋" w:cs="仿宋"/>
                <w:szCs w:val="21"/>
              </w:rPr>
            </w:pPr>
            <w:r>
              <w:rPr>
                <w:rFonts w:hint="eastAsia" w:ascii="仿宋" w:hAnsi="仿宋" w:eastAsia="仿宋" w:cs="仿宋"/>
                <w:szCs w:val="21"/>
              </w:rPr>
              <w:t>2.保证临时和派遣人员保险的缴纳</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工资发放人数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工资发放人数</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≥600人</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保险缴纳表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工资发放及时性</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工资发放及时性</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根据人事通知及表格及时发放</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人事通知单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≤2201.3万元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社会稳定水平</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促进社会稳定水平逐步提高</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促进社会稳步提高</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43</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机关运行经费绩效目标表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1.通过日常维护，保障机关的正常运行</w:t>
            </w:r>
          </w:p>
          <w:p>
            <w:pPr>
              <w:spacing w:line="300" w:lineRule="exact"/>
              <w:jc w:val="left"/>
              <w:rPr>
                <w:rFonts w:ascii="仿宋" w:hAnsi="仿宋" w:eastAsia="仿宋" w:cs="仿宋"/>
                <w:szCs w:val="21"/>
              </w:rPr>
            </w:pPr>
            <w:r>
              <w:rPr>
                <w:rFonts w:hint="eastAsia" w:ascii="仿宋" w:hAnsi="仿宋" w:eastAsia="仿宋" w:cs="仿宋"/>
                <w:szCs w:val="21"/>
              </w:rPr>
              <w:t>2.通过零星维修改造，维护机关基础设施</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业务处理及时性</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完成工作个数</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≥5个</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维修反馈单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正常运转率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保障机关正常运转率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入库单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完成工作及时率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反应完成工作及时率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维修反馈单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≤539.44万元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机关正常运转</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通过机关运行经费的支出保障机关正常运转</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正常运转</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高新区年度计划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群众满意度占总数比率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44</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城市基础设施运行维护费（一般）绩效目标表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1.通过项目的开展实现工程完工等战略，保障验收工程量的实现。</w:t>
            </w:r>
          </w:p>
          <w:p>
            <w:pPr>
              <w:spacing w:line="300" w:lineRule="exact"/>
              <w:jc w:val="left"/>
              <w:rPr>
                <w:rFonts w:ascii="仿宋" w:hAnsi="仿宋" w:eastAsia="仿宋" w:cs="仿宋"/>
                <w:szCs w:val="21"/>
              </w:rPr>
            </w:pPr>
            <w:r>
              <w:rPr>
                <w:rFonts w:hint="eastAsia" w:ascii="仿宋" w:hAnsi="仿宋" w:eastAsia="仿宋" w:cs="仿宋"/>
                <w:szCs w:val="21"/>
              </w:rPr>
              <w:t>2.通过项目的开展完成工程量完成率，实现基础设施建成后的利用、使用情况 。</w:t>
            </w:r>
          </w:p>
          <w:p>
            <w:pPr>
              <w:spacing w:line="300" w:lineRule="exact"/>
              <w:jc w:val="left"/>
              <w:rPr>
                <w:rFonts w:ascii="仿宋" w:hAnsi="仿宋" w:eastAsia="仿宋" w:cs="仿宋"/>
                <w:szCs w:val="21"/>
              </w:rPr>
            </w:pPr>
            <w:r>
              <w:rPr>
                <w:rFonts w:hint="eastAsia" w:ascii="仿宋" w:hAnsi="仿宋" w:eastAsia="仿宋" w:cs="仿宋"/>
                <w:szCs w:val="21"/>
              </w:rPr>
              <w:t>3.通过项目的开展保障基础设施正常运行。</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工程量完成率（%）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实际完成工程量占计划完成工程量的比率</w:t>
            </w:r>
          </w:p>
          <w:p>
            <w:pPr>
              <w:spacing w:line="300" w:lineRule="exact"/>
              <w:jc w:val="left"/>
              <w:rPr>
                <w:rFonts w:ascii="仿宋" w:hAnsi="仿宋" w:eastAsia="仿宋" w:cs="仿宋"/>
                <w:szCs w:val="21"/>
              </w:rPr>
            </w:pP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工程验收合格率（%）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通过验收的工程量占建设、改造、修缮总量的比率</w:t>
            </w:r>
          </w:p>
          <w:p>
            <w:pPr>
              <w:spacing w:line="300" w:lineRule="exact"/>
              <w:jc w:val="left"/>
              <w:rPr>
                <w:rFonts w:ascii="仿宋" w:hAnsi="仿宋" w:eastAsia="仿宋" w:cs="仿宋"/>
                <w:szCs w:val="21"/>
              </w:rPr>
            </w:pP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项目按期完成率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"项目按期完成量占全部工程百分比</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p>
            <w:pPr>
              <w:spacing w:line="300" w:lineRule="exact"/>
              <w:jc w:val="left"/>
              <w:rPr>
                <w:rFonts w:ascii="仿宋" w:hAnsi="仿宋" w:eastAsia="仿宋" w:cs="仿宋"/>
                <w:szCs w:val="21"/>
              </w:rPr>
            </w:pP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≤205万元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基础设施完好率（%）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设备完好数量市场价值总额占设备总数量市场价值总额的比率</w:t>
            </w:r>
          </w:p>
          <w:p>
            <w:pPr>
              <w:spacing w:line="300" w:lineRule="exact"/>
              <w:jc w:val="left"/>
              <w:rPr>
                <w:rFonts w:ascii="仿宋" w:hAnsi="仿宋" w:eastAsia="仿宋" w:cs="仿宋"/>
                <w:szCs w:val="21"/>
              </w:rPr>
            </w:pP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合同要求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p>
            <w:pPr>
              <w:spacing w:line="300" w:lineRule="exact"/>
              <w:jc w:val="left"/>
              <w:rPr>
                <w:rFonts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rPr>
              <w:tab/>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问卷调查</w:t>
            </w:r>
          </w:p>
        </w:tc>
      </w:tr>
    </w:tbl>
    <w:p>
      <w:pPr>
        <w:spacing w:line="300" w:lineRule="exact"/>
        <w:jc w:val="left"/>
      </w:pPr>
    </w:p>
    <w:p>
      <w:pPr>
        <w:ind w:firstLine="560" w:firstLineChars="200"/>
        <w:jc w:val="left"/>
        <w:rPr>
          <w:rFonts w:ascii="仿宋" w:hAnsi="仿宋" w:eastAsia="仿宋" w:cs="仿宋"/>
          <w:bCs/>
          <w:sz w:val="28"/>
          <w:szCs w:val="28"/>
        </w:rPr>
      </w:pPr>
      <w:r>
        <w:rPr>
          <w:rFonts w:ascii="Times New Roman" w:hAnsi="Times New Roman" w:eastAsia="方正仿宋_GBK" w:cs="Times New Roman"/>
          <w:bCs/>
          <w:sz w:val="28"/>
          <w:szCs w:val="28"/>
        </w:rPr>
        <w:t>45</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园区基础设施建设项目绩效目标表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1.通过对燕郊高新区区域内基础设施建设项目的提升，促进燕郊高新区稳定发展。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2.通过对燕郊高新区区域内基础设施建设项目的提升，促进京津冀协同发展性步伐加快。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3.通过对燕郊高新区区域内基础设施建设项目的提升，满足人民需求。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管线长度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新建污水管线长度</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2200米</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≤5282.9万元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46</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项目进场综合治理经费绩效目标表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1.充分发挥燕郊的各种优势，选准方向，加大力度，提高招商引资的实效性，做到内挖外引、内外结合。</w:t>
            </w:r>
          </w:p>
          <w:p>
            <w:pPr>
              <w:spacing w:line="300" w:lineRule="exact"/>
              <w:jc w:val="left"/>
              <w:rPr>
                <w:rFonts w:ascii="仿宋" w:hAnsi="仿宋" w:eastAsia="仿宋" w:cs="仿宋"/>
                <w:szCs w:val="21"/>
              </w:rPr>
            </w:pPr>
            <w:r>
              <w:rPr>
                <w:rFonts w:hint="eastAsia" w:ascii="仿宋" w:hAnsi="仿宋" w:eastAsia="仿宋" w:cs="仿宋"/>
                <w:szCs w:val="21"/>
              </w:rPr>
              <w:t>2.通过项目的开展实现引进企业数量等战略，保障引进的企业数量的实现。</w:t>
            </w:r>
          </w:p>
          <w:p>
            <w:pPr>
              <w:spacing w:line="300" w:lineRule="exact"/>
              <w:jc w:val="left"/>
              <w:rPr>
                <w:rFonts w:ascii="仿宋" w:hAnsi="仿宋" w:eastAsia="仿宋" w:cs="仿宋"/>
                <w:szCs w:val="21"/>
              </w:rPr>
            </w:pPr>
            <w:r>
              <w:rPr>
                <w:rFonts w:hint="eastAsia" w:ascii="仿宋" w:hAnsi="仿宋" w:eastAsia="仿宋" w:cs="仿宋"/>
                <w:szCs w:val="21"/>
              </w:rPr>
              <w:t>3.为确保项目顺利进场，重点活动，重要领导参观提供后勤保障服务。</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引进企业数量（家）</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投入资金引进的企业数量</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≥2家</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工作正常开展率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工作能正常开展的（百分比）</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开工方案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业务处理及时性</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业务处理及时性</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≤7天</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项目实施方案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≤30万元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对经济发展的促进作用</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对经济发展的促进作用</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制定招商方案，改善营商环境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47</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道路设施建设项目（基金）绩效目标表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67"/>
        <w:gridCol w:w="1170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67"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706"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1.通过对燕郊高新区区域内道路设施建设项目的提升，促进燕郊高新区稳定发展。</w:t>
            </w:r>
          </w:p>
          <w:p>
            <w:pPr>
              <w:spacing w:line="300" w:lineRule="exact"/>
              <w:jc w:val="left"/>
              <w:rPr>
                <w:rFonts w:ascii="仿宋" w:hAnsi="仿宋" w:eastAsia="仿宋" w:cs="仿宋"/>
                <w:szCs w:val="21"/>
              </w:rPr>
            </w:pPr>
            <w:r>
              <w:rPr>
                <w:rFonts w:hint="eastAsia" w:ascii="仿宋" w:hAnsi="仿宋" w:eastAsia="仿宋" w:cs="仿宋"/>
                <w:szCs w:val="21"/>
              </w:rPr>
              <w:t>2.通过对燕郊高新区区域内道路设施建设项目的提升，促进京津冀协同发展性步伐加快。</w:t>
            </w:r>
          </w:p>
          <w:p>
            <w:pPr>
              <w:spacing w:line="300" w:lineRule="exact"/>
              <w:jc w:val="left"/>
              <w:rPr>
                <w:rFonts w:ascii="仿宋" w:hAnsi="仿宋" w:eastAsia="仿宋" w:cs="仿宋"/>
                <w:szCs w:val="21"/>
              </w:rPr>
            </w:pPr>
            <w:r>
              <w:rPr>
                <w:rFonts w:hint="eastAsia" w:ascii="仿宋" w:hAnsi="仿宋" w:eastAsia="仿宋" w:cs="仿宋"/>
                <w:szCs w:val="21"/>
              </w:rPr>
              <w:t>3.通过对燕郊高新区区域内道路设施建设项目的提升，满足人民需求。</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8"/>
        <w:gridCol w:w="2340"/>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4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地道桥宽度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地道桥宽度</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地道桥拓宽为双孔18米+18米宽钢筋混凝土框架桥</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验收合格率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通过验收工程量占总工程的比率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工作按期完成率（%）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按期完成的工作量占总工作量的比率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总成本</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项目总成本</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≤20006万元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支出凭证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68"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有效促进</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历史数据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vMerge w:val="continue"/>
            <w:shd w:val="clear" w:color="auto" w:fill="auto"/>
            <w:vAlign w:val="center"/>
          </w:tcPr>
          <w:p>
            <w:pPr>
              <w:spacing w:line="300" w:lineRule="exact"/>
              <w:jc w:val="center"/>
              <w:rPr>
                <w:rFonts w:ascii="仿宋" w:hAnsi="仿宋" w:eastAsia="仿宋" w:cs="仿宋"/>
                <w:szCs w:val="21"/>
              </w:rPr>
            </w:pP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社会稳定发展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促进维持社会稳定</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稳定</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68"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4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受益群体调查中，满意和较满意的人数占全部调查人数的比率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≥95%</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spacing w:line="300" w:lineRule="exact"/>
        <w:jc w:val="left"/>
      </w:pPr>
    </w:p>
    <w:p>
      <w:pPr>
        <w:ind w:firstLine="560" w:firstLineChars="200"/>
        <w:jc w:val="left"/>
        <w:rPr>
          <w:rFonts w:ascii="Times New Roman" w:hAnsi="宋体"/>
          <w:b/>
          <w:sz w:val="28"/>
        </w:rPr>
      </w:pPr>
      <w:r>
        <w:rPr>
          <w:rFonts w:ascii="Times New Roman" w:hAnsi="Times New Roman" w:eastAsia="方正仿宋_GBK" w:cs="Times New Roman"/>
          <w:bCs/>
          <w:sz w:val="28"/>
          <w:szCs w:val="28"/>
        </w:rPr>
        <w:t>48</w:t>
      </w:r>
      <w:r>
        <w:rPr>
          <w:rFonts w:hint="eastAsia" w:ascii="Times New Roman" w:hAnsi="Times New Roman" w:eastAsia="方正仿宋_GBK" w:cs="Times New Roman"/>
          <w:bCs/>
          <w:sz w:val="28"/>
          <w:szCs w:val="28"/>
        </w:rPr>
        <w:t>.</w:t>
      </w:r>
      <w:r>
        <w:rPr>
          <w:rFonts w:hint="eastAsia" w:ascii="仿宋" w:hAnsi="仿宋" w:eastAsia="仿宋" w:cs="仿宋"/>
          <w:bCs/>
          <w:sz w:val="28"/>
          <w:szCs w:val="28"/>
        </w:rPr>
        <w:t>高新区改善营商环境专项资金（冀财建[2019]201号）绩效目标表</w:t>
      </w:r>
    </w:p>
    <w:tbl>
      <w:tblPr>
        <w:tblStyle w:val="10"/>
        <w:tblW w:w="14173" w:type="dxa"/>
        <w:jc w:val="center"/>
        <w:tblInd w:w="0" w:type="dxa"/>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2482"/>
        <w:gridCol w:w="11691"/>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482" w:type="dxa"/>
            <w:tcBorders>
              <w:top w:val="single" w:color="000000" w:sz="6" w:space="0"/>
              <w:bottom w:val="nil"/>
            </w:tcBorders>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绩效目标</w:t>
            </w:r>
          </w:p>
        </w:tc>
        <w:tc>
          <w:tcPr>
            <w:tcW w:w="11691" w:type="dxa"/>
            <w:tcBorders>
              <w:top w:val="single" w:color="000000" w:sz="6" w:space="0"/>
              <w:bottom w:val="nil"/>
            </w:tcBorders>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1.通过促进企业发展，增加企业产值。</w:t>
            </w:r>
          </w:p>
          <w:p>
            <w:pPr>
              <w:spacing w:line="300" w:lineRule="exact"/>
              <w:jc w:val="left"/>
              <w:rPr>
                <w:rFonts w:ascii="仿宋" w:hAnsi="仿宋" w:eastAsia="仿宋" w:cs="仿宋"/>
                <w:szCs w:val="21"/>
              </w:rPr>
            </w:pPr>
            <w:r>
              <w:rPr>
                <w:rFonts w:hint="eastAsia" w:ascii="仿宋" w:hAnsi="仿宋" w:eastAsia="仿宋" w:cs="仿宋"/>
                <w:szCs w:val="21"/>
              </w:rPr>
              <w:t>2.通过促进企业发展，加快区内经济发展。</w:t>
            </w:r>
          </w:p>
          <w:p>
            <w:pPr>
              <w:spacing w:line="300" w:lineRule="exact"/>
              <w:jc w:val="left"/>
              <w:rPr>
                <w:rFonts w:ascii="仿宋" w:hAnsi="仿宋" w:eastAsia="仿宋" w:cs="仿宋"/>
                <w:szCs w:val="21"/>
              </w:rPr>
            </w:pPr>
            <w:r>
              <w:rPr>
                <w:rFonts w:hint="eastAsia" w:ascii="仿宋" w:hAnsi="仿宋" w:eastAsia="仿宋" w:cs="仿宋"/>
                <w:szCs w:val="21"/>
              </w:rPr>
              <w:t>3.通过促进企业发展，加快科技创新建设。</w:t>
            </w:r>
          </w:p>
        </w:tc>
      </w:tr>
    </w:tbl>
    <w:p>
      <w:pPr>
        <w:spacing w:line="14" w:lineRule="exact"/>
        <w:jc w:val="center"/>
        <w:rPr>
          <w:rFonts w:ascii="仿宋" w:hAnsi="仿宋" w:eastAsia="仿宋" w:cs="仿宋"/>
          <w:szCs w:val="21"/>
        </w:rPr>
      </w:pPr>
      <w:r>
        <w:rPr>
          <w:rFonts w:hint="eastAsia" w:ascii="仿宋" w:hAnsi="仿宋" w:eastAsia="仿宋" w:cs="仿宋"/>
          <w:szCs w:val="21"/>
        </w:rPr>
        <w:t xml:space="preserve"> </w:t>
      </w:r>
    </w:p>
    <w:tbl>
      <w:tblPr>
        <w:tblStyle w:val="10"/>
        <w:tblW w:w="141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83"/>
        <w:gridCol w:w="2325"/>
        <w:gridCol w:w="1980"/>
        <w:gridCol w:w="3360"/>
        <w:gridCol w:w="1758"/>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tblHeader/>
          <w:jc w:val="center"/>
        </w:trPr>
        <w:tc>
          <w:tcPr>
            <w:tcW w:w="2483"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一级指标</w:t>
            </w:r>
          </w:p>
        </w:tc>
        <w:tc>
          <w:tcPr>
            <w:tcW w:w="2325"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二级指标</w:t>
            </w:r>
          </w:p>
        </w:tc>
        <w:tc>
          <w:tcPr>
            <w:tcW w:w="198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三级指标</w:t>
            </w:r>
          </w:p>
        </w:tc>
        <w:tc>
          <w:tcPr>
            <w:tcW w:w="3360"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绩效指标描述</w:t>
            </w:r>
          </w:p>
        </w:tc>
        <w:tc>
          <w:tcPr>
            <w:tcW w:w="175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w:t>
            </w:r>
          </w:p>
        </w:tc>
        <w:tc>
          <w:tcPr>
            <w:tcW w:w="2268" w:type="dxa"/>
            <w:shd w:val="clear" w:color="auto" w:fill="auto"/>
            <w:vAlign w:val="center"/>
          </w:tcPr>
          <w:p>
            <w:pPr>
              <w:spacing w:line="300" w:lineRule="exact"/>
              <w:jc w:val="center"/>
              <w:rPr>
                <w:rFonts w:ascii="仿宋" w:hAnsi="仿宋" w:eastAsia="仿宋" w:cs="仿宋"/>
                <w:b/>
                <w:szCs w:val="21"/>
              </w:rPr>
            </w:pPr>
            <w:r>
              <w:rPr>
                <w:rFonts w:hint="eastAsia" w:ascii="仿宋" w:hAnsi="仿宋" w:eastAsia="仿宋" w:cs="仿宋"/>
                <w:b/>
                <w:szCs w:val="21"/>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产出指标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加强对燕郊高新区宣传力度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宣传材料印制</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≤5000册</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加强对燕郊高新区宣传力度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组织活动</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≤4场</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数量指标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加强对燕郊高新区宣传力度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实境燕郊制作宣传</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1部</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质量指标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燕郊全区覆盖率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燕郊全区覆盖率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时效指标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持续推进</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宣传知晓率</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预算控制数</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成本控制在预算额度内</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≤200万元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专项预算数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restart"/>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效益指标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经济效益指标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促进经济发展</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制定招商方案，创造良好的营商环境</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招商方案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vMerge w:val="continue"/>
            <w:shd w:val="clear" w:color="auto" w:fill="auto"/>
            <w:vAlign w:val="center"/>
          </w:tcPr>
          <w:p>
            <w:pPr>
              <w:spacing w:line="300" w:lineRule="exact"/>
              <w:jc w:val="center"/>
              <w:rPr>
                <w:rFonts w:ascii="仿宋" w:hAnsi="仿宋" w:eastAsia="仿宋" w:cs="仿宋"/>
                <w:szCs w:val="21"/>
              </w:rPr>
            </w:pP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社会效益指标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宣传政策知晓率</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反映政策宣贯效果</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100%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397" w:hRule="atLeast"/>
          <w:jc w:val="center"/>
        </w:trPr>
        <w:tc>
          <w:tcPr>
            <w:tcW w:w="2483" w:type="dxa"/>
            <w:shd w:val="clear" w:color="auto" w:fill="auto"/>
            <w:vAlign w:val="center"/>
          </w:tcPr>
          <w:p>
            <w:pPr>
              <w:spacing w:line="300" w:lineRule="exact"/>
              <w:jc w:val="center"/>
              <w:rPr>
                <w:rFonts w:ascii="仿宋" w:hAnsi="仿宋" w:eastAsia="仿宋" w:cs="仿宋"/>
                <w:szCs w:val="21"/>
              </w:rPr>
            </w:pPr>
            <w:r>
              <w:rPr>
                <w:rFonts w:hint="eastAsia" w:ascii="仿宋" w:hAnsi="仿宋" w:eastAsia="仿宋" w:cs="仿宋"/>
                <w:szCs w:val="21"/>
              </w:rPr>
              <w:t>满意度指标</w:t>
            </w:r>
          </w:p>
        </w:tc>
        <w:tc>
          <w:tcPr>
            <w:tcW w:w="2325"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服务对象满意度指标</w:t>
            </w:r>
          </w:p>
        </w:tc>
        <w:tc>
          <w:tcPr>
            <w:tcW w:w="198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受益群体满意度</w:t>
            </w:r>
          </w:p>
        </w:tc>
        <w:tc>
          <w:tcPr>
            <w:tcW w:w="3360"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受益群体调查中，满意和较满意的人数占比</w:t>
            </w:r>
          </w:p>
        </w:tc>
        <w:tc>
          <w:tcPr>
            <w:tcW w:w="175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≥90%</w:t>
            </w:r>
          </w:p>
        </w:tc>
        <w:tc>
          <w:tcPr>
            <w:tcW w:w="2268" w:type="dxa"/>
            <w:shd w:val="clear" w:color="auto" w:fill="auto"/>
            <w:vAlign w:val="center"/>
          </w:tcPr>
          <w:p>
            <w:pPr>
              <w:spacing w:line="300" w:lineRule="exact"/>
              <w:jc w:val="left"/>
              <w:rPr>
                <w:rFonts w:ascii="仿宋" w:hAnsi="仿宋" w:eastAsia="仿宋" w:cs="仿宋"/>
                <w:szCs w:val="21"/>
              </w:rPr>
            </w:pPr>
            <w:r>
              <w:rPr>
                <w:rFonts w:hint="eastAsia" w:ascii="仿宋" w:hAnsi="仿宋" w:eastAsia="仿宋" w:cs="仿宋"/>
                <w:szCs w:val="21"/>
              </w:rPr>
              <w:t>电话回访</w:t>
            </w:r>
          </w:p>
        </w:tc>
      </w:tr>
    </w:tbl>
    <w:p>
      <w:pPr>
        <w:autoSpaceDE w:val="0"/>
        <w:autoSpaceDN w:val="0"/>
        <w:adjustRightInd w:val="0"/>
        <w:spacing w:line="584" w:lineRule="exact"/>
        <w:ind w:firstLine="880" w:firstLineChars="200"/>
        <w:jc w:val="left"/>
        <w:rPr>
          <w:rFonts w:ascii="Times New Roman" w:hAnsi="Times New Roman" w:eastAsia="黑体" w:cs="Times New Roman"/>
          <w:sz w:val="44"/>
          <w:szCs w:val="44"/>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p>
    <w:p>
      <w:pPr>
        <w:autoSpaceDE w:val="0"/>
        <w:autoSpaceDN w:val="0"/>
        <w:adjustRightInd w:val="0"/>
        <w:spacing w:line="584" w:lineRule="exact"/>
        <w:jc w:val="left"/>
        <w:rPr>
          <w:rFonts w:ascii="Times New Roman" w:hAnsi="Times New Roman" w:eastAsia="黑体" w:cs="Times New Roman"/>
          <w:sz w:val="32"/>
          <w:szCs w:val="32"/>
        </w:rPr>
      </w:pPr>
    </w:p>
    <w:p>
      <w:pPr>
        <w:autoSpaceDE w:val="0"/>
        <w:autoSpaceDN w:val="0"/>
        <w:adjustRightInd w:val="0"/>
        <w:spacing w:line="584" w:lineRule="exact"/>
        <w:jc w:val="left"/>
        <w:rPr>
          <w:rFonts w:ascii="Times New Roman" w:hAnsi="Times New Roman" w:eastAsia="黑体" w:cs="Times New Roman"/>
          <w:sz w:val="32"/>
          <w:szCs w:val="32"/>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六、政府采购预算情况</w:t>
      </w:r>
    </w:p>
    <w:p>
      <w:pPr>
        <w:spacing w:line="584" w:lineRule="exact"/>
        <w:ind w:firstLine="640" w:firstLineChars="200"/>
        <w:outlineLvl w:val="0"/>
        <w:rPr>
          <w:rFonts w:ascii="Times New Roman" w:hAnsi="Times New Roman" w:eastAsia="仿宋_GB2312" w:cs="Times New Roman"/>
          <w:sz w:val="32"/>
          <w:szCs w:val="24"/>
        </w:rPr>
      </w:pPr>
      <w:bookmarkStart w:id="1" w:name="_Toc471398468"/>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21</w:t>
      </w:r>
      <w:r>
        <w:rPr>
          <w:rFonts w:ascii="Times New Roman" w:hAnsi="Times New Roman" w:eastAsia="仿宋_GB2312" w:cs="Times New Roman"/>
          <w:sz w:val="32"/>
          <w:szCs w:val="24"/>
        </w:rPr>
        <w:t>年，我部门安排政府采购预算</w:t>
      </w:r>
      <w:r>
        <w:rPr>
          <w:rFonts w:hint="eastAsia" w:ascii="Times New Roman" w:hAnsi="Times New Roman" w:eastAsia="仿宋_GB2312" w:cs="Times New Roman"/>
          <w:sz w:val="32"/>
          <w:szCs w:val="24"/>
        </w:rPr>
        <w:t>16893.60</w:t>
      </w:r>
      <w:r>
        <w:rPr>
          <w:rFonts w:ascii="Times New Roman" w:hAnsi="Times New Roman" w:eastAsia="仿宋_GB2312" w:cs="Times New Roman"/>
          <w:sz w:val="32"/>
          <w:szCs w:val="24"/>
        </w:rPr>
        <w:t>万元。具体内容见下表。</w:t>
      </w:r>
    </w:p>
    <w:bookmarkEnd w:id="1"/>
    <w:p>
      <w:pPr>
        <w:spacing w:line="584" w:lineRule="exact"/>
        <w:jc w:val="left"/>
        <w:outlineLvl w:val="0"/>
        <w:rPr>
          <w:rFonts w:ascii="Times New Roman" w:hAnsi="Times New Roman" w:eastAsia="仿宋_GB2312" w:cs="Times New Roman"/>
        </w:rPr>
      </w:pPr>
    </w:p>
    <w:p>
      <w:pPr>
        <w:jc w:val="center"/>
        <w:outlineLvl w:val="1"/>
        <w:rPr>
          <w:rFonts w:ascii="Times New Roman" w:hAnsi="Times New Roman" w:cs="Times New Roman"/>
          <w:sz w:val="32"/>
        </w:rPr>
      </w:pPr>
      <w:bookmarkStart w:id="2" w:name="_Toc64920910"/>
      <w:r>
        <w:rPr>
          <w:rFonts w:hint="eastAsia" w:ascii="方正小标宋_GBK" w:eastAsia="方正小标宋_GBK" w:cs="Times New Roman"/>
          <w:sz w:val="32"/>
        </w:rPr>
        <w:t>部门政府采购预算</w:t>
      </w:r>
      <w:bookmarkEnd w:id="2"/>
    </w:p>
    <w:tbl>
      <w:tblPr>
        <w:tblStyle w:val="10"/>
        <w:tblW w:w="1500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11"/>
        <w:gridCol w:w="1027"/>
        <w:gridCol w:w="1475"/>
        <w:gridCol w:w="1574"/>
        <w:gridCol w:w="771"/>
        <w:gridCol w:w="513"/>
        <w:gridCol w:w="1007"/>
        <w:gridCol w:w="1184"/>
        <w:gridCol w:w="1476"/>
        <w:gridCol w:w="1228"/>
        <w:gridCol w:w="1201"/>
        <w:gridCol w:w="857"/>
        <w:gridCol w:w="6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8378"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cs="Times New Roman"/>
                <w:sz w:val="24"/>
              </w:rPr>
            </w:pPr>
            <w:r>
              <w:rPr>
                <w:rFonts w:hint="eastAsia" w:ascii="方正小标宋_GBK" w:eastAsia="方正小标宋_GBK"/>
                <w:sz w:val="24"/>
              </w:rPr>
              <w:t>燕郊高新技术产业开发区管理委员会</w:t>
            </w:r>
          </w:p>
        </w:tc>
        <w:tc>
          <w:tcPr>
            <w:tcW w:w="6631"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cs="Times New Roman"/>
                <w:sz w:val="24"/>
              </w:rPr>
            </w:pPr>
            <w:r>
              <w:rPr>
                <w:rFonts w:ascii="方正书宋_GBK" w:eastAsia="方正书宋_GBK" w:cs="Times New Roman"/>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3038" w:type="dxa"/>
            <w:gridSpan w:val="2"/>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政府采购项目来源</w:t>
            </w:r>
          </w:p>
        </w:tc>
        <w:tc>
          <w:tcPr>
            <w:tcW w:w="1475"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采购物品名称</w:t>
            </w:r>
          </w:p>
        </w:tc>
        <w:tc>
          <w:tcPr>
            <w:tcW w:w="1574"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政府采购目录序号</w:t>
            </w:r>
          </w:p>
        </w:tc>
        <w:tc>
          <w:tcPr>
            <w:tcW w:w="771"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计量  单位</w:t>
            </w:r>
          </w:p>
        </w:tc>
        <w:tc>
          <w:tcPr>
            <w:tcW w:w="513"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数量</w:t>
            </w:r>
          </w:p>
        </w:tc>
        <w:tc>
          <w:tcPr>
            <w:tcW w:w="1007" w:type="dxa"/>
            <w:vMerge w:val="restart"/>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单价</w:t>
            </w:r>
          </w:p>
        </w:tc>
        <w:tc>
          <w:tcPr>
            <w:tcW w:w="6631" w:type="dxa"/>
            <w:gridSpan w:val="6"/>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2011"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项目名称</w:t>
            </w:r>
          </w:p>
        </w:tc>
        <w:tc>
          <w:tcPr>
            <w:tcW w:w="1027"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预算资金</w:t>
            </w:r>
          </w:p>
        </w:tc>
        <w:tc>
          <w:tcPr>
            <w:tcW w:w="1475" w:type="dxa"/>
            <w:vMerge w:val="continue"/>
            <w:shd w:val="clear" w:color="auto" w:fill="auto"/>
            <w:vAlign w:val="center"/>
          </w:tcPr>
          <w:p/>
        </w:tc>
        <w:tc>
          <w:tcPr>
            <w:tcW w:w="1574" w:type="dxa"/>
            <w:vMerge w:val="continue"/>
            <w:shd w:val="clear" w:color="auto" w:fill="auto"/>
            <w:vAlign w:val="center"/>
          </w:tcPr>
          <w:p/>
        </w:tc>
        <w:tc>
          <w:tcPr>
            <w:tcW w:w="771" w:type="dxa"/>
            <w:vMerge w:val="continue"/>
            <w:shd w:val="clear" w:color="auto" w:fill="auto"/>
            <w:vAlign w:val="center"/>
          </w:tcPr>
          <w:p/>
        </w:tc>
        <w:tc>
          <w:tcPr>
            <w:tcW w:w="513" w:type="dxa"/>
            <w:vMerge w:val="continue"/>
            <w:shd w:val="clear" w:color="auto" w:fill="auto"/>
            <w:vAlign w:val="center"/>
          </w:tcPr>
          <w:p/>
        </w:tc>
        <w:tc>
          <w:tcPr>
            <w:tcW w:w="1007" w:type="dxa"/>
            <w:vMerge w:val="continue"/>
            <w:shd w:val="clear" w:color="auto" w:fill="auto"/>
            <w:vAlign w:val="center"/>
          </w:tcPr>
          <w:p/>
        </w:tc>
        <w:tc>
          <w:tcPr>
            <w:tcW w:w="1184"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合计</w:t>
            </w:r>
          </w:p>
        </w:tc>
        <w:tc>
          <w:tcPr>
            <w:tcW w:w="1476"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一般公共预算拨款</w:t>
            </w:r>
          </w:p>
        </w:tc>
        <w:tc>
          <w:tcPr>
            <w:tcW w:w="1228"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基金预算拨款</w:t>
            </w:r>
          </w:p>
        </w:tc>
        <w:tc>
          <w:tcPr>
            <w:tcW w:w="1201"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国有资本经营预算拨款</w:t>
            </w:r>
          </w:p>
        </w:tc>
        <w:tc>
          <w:tcPr>
            <w:tcW w:w="857"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财政专户核拨</w:t>
            </w:r>
          </w:p>
        </w:tc>
        <w:tc>
          <w:tcPr>
            <w:tcW w:w="685" w:type="dxa"/>
            <w:shd w:val="clear" w:color="auto" w:fill="auto"/>
            <w:vAlign w:val="center"/>
          </w:tcPr>
          <w:p>
            <w:pPr>
              <w:spacing w:line="300" w:lineRule="exact"/>
              <w:jc w:val="center"/>
              <w:rPr>
                <w:rFonts w:ascii="方正书宋_GBK" w:eastAsia="方正书宋_GBK" w:cs="Times New Roman"/>
                <w:b/>
              </w:rPr>
            </w:pPr>
            <w:r>
              <w:rPr>
                <w:rFonts w:ascii="方正书宋_GBK" w:eastAsia="方正书宋_GBK" w:cs="Times New Roman"/>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center"/>
              <w:rPr>
                <w:rFonts w:ascii="方正书宋_GBK" w:eastAsia="方正书宋_GBK" w:cs="Times New Roman"/>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027" w:type="dxa"/>
            <w:shd w:val="clear" w:color="auto" w:fill="auto"/>
            <w:vAlign w:val="center"/>
          </w:tcPr>
          <w:p>
            <w:pPr>
              <w:spacing w:line="300" w:lineRule="exact"/>
              <w:jc w:val="right"/>
              <w:rPr>
                <w:rFonts w:ascii="方正书宋_GBK" w:eastAsia="方正书宋_GBK" w:cs="Times New Roman"/>
                <w:b/>
              </w:rPr>
            </w:pPr>
          </w:p>
        </w:tc>
        <w:tc>
          <w:tcPr>
            <w:tcW w:w="1475" w:type="dxa"/>
            <w:shd w:val="clear" w:color="auto" w:fill="auto"/>
            <w:vAlign w:val="center"/>
          </w:tcPr>
          <w:p>
            <w:pPr>
              <w:spacing w:line="300" w:lineRule="exact"/>
              <w:jc w:val="left"/>
              <w:rPr>
                <w:rFonts w:ascii="方正书宋_GBK" w:eastAsia="方正书宋_GBK" w:cs="Times New Roman"/>
                <w:b/>
              </w:rPr>
            </w:pPr>
          </w:p>
        </w:tc>
        <w:tc>
          <w:tcPr>
            <w:tcW w:w="1574" w:type="dxa"/>
            <w:shd w:val="clear" w:color="auto" w:fill="auto"/>
            <w:vAlign w:val="center"/>
          </w:tcPr>
          <w:p>
            <w:pPr>
              <w:spacing w:line="300" w:lineRule="exact"/>
              <w:jc w:val="left"/>
              <w:rPr>
                <w:rFonts w:ascii="方正书宋_GBK" w:eastAsia="方正书宋_GBK" w:cs="Times New Roman"/>
                <w:b/>
              </w:rPr>
            </w:pPr>
          </w:p>
        </w:tc>
        <w:tc>
          <w:tcPr>
            <w:tcW w:w="771" w:type="dxa"/>
            <w:shd w:val="clear" w:color="auto" w:fill="auto"/>
            <w:vAlign w:val="center"/>
          </w:tcPr>
          <w:p>
            <w:pPr>
              <w:spacing w:line="300" w:lineRule="exact"/>
              <w:jc w:val="center"/>
              <w:rPr>
                <w:rFonts w:ascii="方正书宋_GBK" w:eastAsia="方正书宋_GBK" w:cs="Times New Roman"/>
                <w:b/>
              </w:rPr>
            </w:pPr>
          </w:p>
        </w:tc>
        <w:tc>
          <w:tcPr>
            <w:tcW w:w="513" w:type="dxa"/>
            <w:shd w:val="clear" w:color="auto" w:fill="auto"/>
            <w:vAlign w:val="center"/>
          </w:tcPr>
          <w:p>
            <w:pPr>
              <w:spacing w:line="300" w:lineRule="exact"/>
              <w:jc w:val="right"/>
              <w:rPr>
                <w:rFonts w:ascii="方正书宋_GBK" w:eastAsia="方正书宋_GBK" w:cs="Times New Roman"/>
                <w:b/>
              </w:rPr>
            </w:pPr>
          </w:p>
        </w:tc>
        <w:tc>
          <w:tcPr>
            <w:tcW w:w="1007" w:type="dxa"/>
            <w:shd w:val="clear" w:color="auto" w:fill="auto"/>
            <w:vAlign w:val="center"/>
          </w:tcPr>
          <w:p>
            <w:pPr>
              <w:spacing w:line="300" w:lineRule="exact"/>
              <w:jc w:val="right"/>
              <w:rPr>
                <w:rFonts w:ascii="方正书宋_GBK" w:eastAsia="方正书宋_GBK" w:cs="Times New Roman"/>
                <w:b/>
              </w:rPr>
            </w:pPr>
          </w:p>
        </w:tc>
        <w:tc>
          <w:tcPr>
            <w:tcW w:w="1184"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16893.60</w:t>
            </w:r>
          </w:p>
        </w:tc>
        <w:tc>
          <w:tcPr>
            <w:tcW w:w="1476"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13210.60</w:t>
            </w:r>
          </w:p>
        </w:tc>
        <w:tc>
          <w:tcPr>
            <w:tcW w:w="1228"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3683.00</w:t>
            </w:r>
          </w:p>
        </w:tc>
        <w:tc>
          <w:tcPr>
            <w:tcW w:w="1201" w:type="dxa"/>
            <w:shd w:val="clear" w:color="auto" w:fill="auto"/>
            <w:vAlign w:val="center"/>
          </w:tcPr>
          <w:p>
            <w:pPr>
              <w:spacing w:line="300" w:lineRule="exact"/>
              <w:jc w:val="right"/>
              <w:rPr>
                <w:rFonts w:ascii="方正书宋_GBK" w:eastAsia="方正书宋_GBK" w:cs="Times New Roman"/>
                <w:b/>
              </w:rPr>
            </w:pPr>
          </w:p>
        </w:tc>
        <w:tc>
          <w:tcPr>
            <w:tcW w:w="857" w:type="dxa"/>
            <w:shd w:val="clear" w:color="auto" w:fill="auto"/>
            <w:vAlign w:val="center"/>
          </w:tcPr>
          <w:p>
            <w:pPr>
              <w:spacing w:line="300" w:lineRule="exact"/>
              <w:jc w:val="right"/>
              <w:rPr>
                <w:rFonts w:ascii="方正书宋_GBK" w:eastAsia="方正书宋_GBK" w:cs="Times New Roman"/>
                <w:b/>
              </w:rPr>
            </w:pPr>
          </w:p>
        </w:tc>
        <w:tc>
          <w:tcPr>
            <w:tcW w:w="685" w:type="dxa"/>
            <w:shd w:val="clear" w:color="auto" w:fill="auto"/>
            <w:vAlign w:val="center"/>
          </w:tcPr>
          <w:p>
            <w:pPr>
              <w:spacing w:line="300" w:lineRule="exact"/>
              <w:jc w:val="right"/>
              <w:rPr>
                <w:rFonts w:ascii="方正书宋_GBK" w:eastAsia="方正书宋_GBK" w:cs="Times New Roman"/>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center"/>
              <w:rPr>
                <w:rFonts w:ascii="方正书宋_GBK" w:eastAsia="方正书宋_GBK" w:cs="Times New Roman"/>
                <w:b/>
              </w:rPr>
            </w:pPr>
            <w:r>
              <w:rPr>
                <w:rFonts w:hint="eastAsia" w:ascii="方正书宋_GBK" w:eastAsia="方正书宋_GBK"/>
                <w:b/>
              </w:rPr>
              <w:t>燕郊高新技术产业开发区管理委员会小计</w:t>
            </w:r>
          </w:p>
        </w:tc>
        <w:tc>
          <w:tcPr>
            <w:tcW w:w="1027" w:type="dxa"/>
            <w:shd w:val="clear" w:color="auto" w:fill="auto"/>
            <w:vAlign w:val="center"/>
          </w:tcPr>
          <w:p>
            <w:pPr>
              <w:spacing w:line="300" w:lineRule="exact"/>
              <w:jc w:val="right"/>
              <w:rPr>
                <w:rFonts w:ascii="方正书宋_GBK" w:eastAsia="方正书宋_GBK" w:cs="Times New Roman"/>
                <w:b/>
              </w:rPr>
            </w:pPr>
          </w:p>
        </w:tc>
        <w:tc>
          <w:tcPr>
            <w:tcW w:w="1475" w:type="dxa"/>
            <w:shd w:val="clear" w:color="auto" w:fill="auto"/>
            <w:vAlign w:val="center"/>
          </w:tcPr>
          <w:p>
            <w:pPr>
              <w:spacing w:line="300" w:lineRule="exact"/>
              <w:jc w:val="left"/>
              <w:rPr>
                <w:rFonts w:ascii="方正书宋_GBK" w:eastAsia="方正书宋_GBK" w:cs="Times New Roman"/>
                <w:b/>
              </w:rPr>
            </w:pPr>
          </w:p>
        </w:tc>
        <w:tc>
          <w:tcPr>
            <w:tcW w:w="1574" w:type="dxa"/>
            <w:shd w:val="clear" w:color="auto" w:fill="auto"/>
            <w:vAlign w:val="center"/>
          </w:tcPr>
          <w:p>
            <w:pPr>
              <w:spacing w:line="300" w:lineRule="exact"/>
              <w:jc w:val="left"/>
              <w:rPr>
                <w:rFonts w:ascii="方正书宋_GBK" w:eastAsia="方正书宋_GBK" w:cs="Times New Roman"/>
                <w:b/>
              </w:rPr>
            </w:pPr>
          </w:p>
        </w:tc>
        <w:tc>
          <w:tcPr>
            <w:tcW w:w="771" w:type="dxa"/>
            <w:shd w:val="clear" w:color="auto" w:fill="auto"/>
            <w:vAlign w:val="center"/>
          </w:tcPr>
          <w:p>
            <w:pPr>
              <w:spacing w:line="300" w:lineRule="exact"/>
              <w:jc w:val="center"/>
              <w:rPr>
                <w:rFonts w:ascii="方正书宋_GBK" w:eastAsia="方正书宋_GBK" w:cs="Times New Roman"/>
                <w:b/>
              </w:rPr>
            </w:pPr>
          </w:p>
        </w:tc>
        <w:tc>
          <w:tcPr>
            <w:tcW w:w="513" w:type="dxa"/>
            <w:shd w:val="clear" w:color="auto" w:fill="auto"/>
            <w:vAlign w:val="center"/>
          </w:tcPr>
          <w:p>
            <w:pPr>
              <w:spacing w:line="300" w:lineRule="exact"/>
              <w:jc w:val="right"/>
              <w:rPr>
                <w:rFonts w:ascii="方正书宋_GBK" w:eastAsia="方正书宋_GBK" w:cs="Times New Roman"/>
                <w:b/>
              </w:rPr>
            </w:pPr>
          </w:p>
        </w:tc>
        <w:tc>
          <w:tcPr>
            <w:tcW w:w="1007" w:type="dxa"/>
            <w:shd w:val="clear" w:color="auto" w:fill="auto"/>
            <w:vAlign w:val="center"/>
          </w:tcPr>
          <w:p>
            <w:pPr>
              <w:spacing w:line="300" w:lineRule="exact"/>
              <w:jc w:val="right"/>
              <w:rPr>
                <w:rFonts w:ascii="方正书宋_GBK" w:eastAsia="方正书宋_GBK" w:cs="Times New Roman"/>
                <w:b/>
              </w:rPr>
            </w:pPr>
          </w:p>
        </w:tc>
        <w:tc>
          <w:tcPr>
            <w:tcW w:w="1184"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16893.60</w:t>
            </w:r>
          </w:p>
        </w:tc>
        <w:tc>
          <w:tcPr>
            <w:tcW w:w="1476"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13210.60</w:t>
            </w:r>
          </w:p>
        </w:tc>
        <w:tc>
          <w:tcPr>
            <w:tcW w:w="1228" w:type="dxa"/>
            <w:shd w:val="clear" w:color="auto" w:fill="auto"/>
            <w:vAlign w:val="center"/>
          </w:tcPr>
          <w:p>
            <w:pPr>
              <w:spacing w:line="300" w:lineRule="exact"/>
              <w:jc w:val="right"/>
              <w:rPr>
                <w:rFonts w:ascii="方正书宋_GBK" w:eastAsia="方正书宋_GBK" w:cs="Times New Roman"/>
                <w:b/>
              </w:rPr>
            </w:pPr>
            <w:r>
              <w:rPr>
                <w:rFonts w:ascii="方正书宋_GBK" w:eastAsia="方正书宋_GBK"/>
                <w:b/>
              </w:rPr>
              <w:t>3683.00</w:t>
            </w:r>
          </w:p>
        </w:tc>
        <w:tc>
          <w:tcPr>
            <w:tcW w:w="1201" w:type="dxa"/>
            <w:shd w:val="clear" w:color="auto" w:fill="auto"/>
            <w:vAlign w:val="center"/>
          </w:tcPr>
          <w:p>
            <w:pPr>
              <w:spacing w:line="300" w:lineRule="exact"/>
              <w:jc w:val="right"/>
              <w:rPr>
                <w:rFonts w:ascii="方正书宋_GBK" w:eastAsia="方正书宋_GBK" w:cs="Times New Roman"/>
                <w:b/>
              </w:rPr>
            </w:pPr>
          </w:p>
        </w:tc>
        <w:tc>
          <w:tcPr>
            <w:tcW w:w="857" w:type="dxa"/>
            <w:shd w:val="clear" w:color="auto" w:fill="auto"/>
            <w:vAlign w:val="center"/>
          </w:tcPr>
          <w:p>
            <w:pPr>
              <w:spacing w:line="300" w:lineRule="exact"/>
              <w:jc w:val="right"/>
              <w:rPr>
                <w:rFonts w:ascii="方正书宋_GBK" w:eastAsia="方正书宋_GBK" w:cs="Times New Roman"/>
                <w:b/>
              </w:rPr>
            </w:pPr>
          </w:p>
        </w:tc>
        <w:tc>
          <w:tcPr>
            <w:tcW w:w="685" w:type="dxa"/>
            <w:shd w:val="clear" w:color="auto" w:fill="auto"/>
            <w:vAlign w:val="center"/>
          </w:tcPr>
          <w:p>
            <w:pPr>
              <w:spacing w:line="300" w:lineRule="exact"/>
              <w:jc w:val="right"/>
              <w:rPr>
                <w:rFonts w:ascii="方正书宋_GBK" w:eastAsia="方正书宋_GBK" w:cs="Times New Roman"/>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城市基础设施运行维护费（一般）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2750.32</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其他运行维护服务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C020699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城市基础设施运行维护费（一般）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2750.32</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互联网信息服务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C0302</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170.00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170.00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170.00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城市基础设施运行维护费（一般）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2750.32</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其他城市公共交通服务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C170399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770.00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770.00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770.00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教育发展项目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9675.11</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其他办公设备</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A020299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1068.00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1068.00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1068.00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娱乐设备零附件</w:t>
            </w:r>
          </w:p>
        </w:tc>
        <w:tc>
          <w:tcPr>
            <w:tcW w:w="1574" w:type="dxa"/>
            <w:shd w:val="clear" w:color="auto" w:fill="auto"/>
            <w:vAlign w:val="center"/>
          </w:tcPr>
          <w:p>
            <w:pPr>
              <w:spacing w:line="300" w:lineRule="exact"/>
              <w:jc w:val="left"/>
              <w:rPr>
                <w:rFonts w:ascii="方正书宋_GBK" w:eastAsia="方正书宋_GBK"/>
              </w:rPr>
            </w:pPr>
            <w:r>
              <w:rPr>
                <w:rFonts w:ascii="方正书宋_GBK" w:eastAsia="方正书宋_GBK"/>
              </w:rPr>
              <w:t>A033709</w:t>
            </w:r>
          </w:p>
        </w:tc>
        <w:tc>
          <w:tcPr>
            <w:tcW w:w="771"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rPr>
            </w:pPr>
            <w:r>
              <w:rPr>
                <w:rFonts w:ascii="方正书宋_GBK" w:eastAsia="方正书宋_GBK"/>
              </w:rPr>
              <w:t>176.00</w:t>
            </w:r>
          </w:p>
        </w:tc>
        <w:tc>
          <w:tcPr>
            <w:tcW w:w="1184" w:type="dxa"/>
            <w:shd w:val="clear" w:color="auto" w:fill="auto"/>
            <w:vAlign w:val="center"/>
          </w:tcPr>
          <w:p>
            <w:pPr>
              <w:spacing w:line="300" w:lineRule="exact"/>
              <w:jc w:val="right"/>
              <w:rPr>
                <w:rFonts w:ascii="方正书宋_GBK" w:eastAsia="方正书宋_GBK"/>
              </w:rPr>
            </w:pPr>
            <w:r>
              <w:rPr>
                <w:rFonts w:ascii="方正书宋_GBK" w:eastAsia="方正书宋_GBK"/>
              </w:rPr>
              <w:t>176.00</w:t>
            </w:r>
          </w:p>
        </w:tc>
        <w:tc>
          <w:tcPr>
            <w:tcW w:w="1476" w:type="dxa"/>
            <w:shd w:val="clear" w:color="auto" w:fill="auto"/>
            <w:vAlign w:val="center"/>
          </w:tcPr>
          <w:p>
            <w:pPr>
              <w:spacing w:line="300" w:lineRule="exact"/>
              <w:jc w:val="right"/>
              <w:rPr>
                <w:rFonts w:ascii="方正书宋_GBK" w:eastAsia="方正书宋_GBK"/>
              </w:rPr>
            </w:pPr>
          </w:p>
        </w:tc>
        <w:tc>
          <w:tcPr>
            <w:tcW w:w="1228"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176.00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栏杆</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A100705</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192.00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192.00</w:t>
            </w:r>
          </w:p>
        </w:tc>
        <w:tc>
          <w:tcPr>
            <w:tcW w:w="1476" w:type="dxa"/>
            <w:shd w:val="clear" w:color="auto" w:fill="auto"/>
            <w:vAlign w:val="center"/>
          </w:tcPr>
          <w:p>
            <w:pPr>
              <w:spacing w:line="300" w:lineRule="exact"/>
              <w:jc w:val="right"/>
              <w:rPr>
                <w:rFonts w:ascii="方正书宋_GBK" w:eastAsia="方正书宋_GBK" w:cs="Times New Roman"/>
              </w:rPr>
            </w:pPr>
          </w:p>
        </w:tc>
        <w:tc>
          <w:tcPr>
            <w:tcW w:w="1228"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192.00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其他市政公共设施用房施工</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B011399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152.00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152.00</w:t>
            </w:r>
          </w:p>
        </w:tc>
        <w:tc>
          <w:tcPr>
            <w:tcW w:w="1476" w:type="dxa"/>
            <w:shd w:val="clear" w:color="auto" w:fill="auto"/>
            <w:vAlign w:val="center"/>
          </w:tcPr>
          <w:p>
            <w:pPr>
              <w:spacing w:line="300" w:lineRule="exact"/>
              <w:jc w:val="right"/>
              <w:rPr>
                <w:rFonts w:ascii="方正书宋_GBK" w:eastAsia="方正书宋_GBK" w:cs="Times New Roman"/>
              </w:rPr>
            </w:pPr>
          </w:p>
        </w:tc>
        <w:tc>
          <w:tcPr>
            <w:tcW w:w="1228"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152.00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其他电力系统安装</w:t>
            </w:r>
          </w:p>
        </w:tc>
        <w:tc>
          <w:tcPr>
            <w:tcW w:w="1574" w:type="dxa"/>
            <w:shd w:val="clear" w:color="auto" w:fill="auto"/>
            <w:vAlign w:val="center"/>
          </w:tcPr>
          <w:p>
            <w:pPr>
              <w:spacing w:line="300" w:lineRule="exact"/>
              <w:jc w:val="left"/>
              <w:rPr>
                <w:rFonts w:ascii="方正书宋_GBK" w:eastAsia="方正书宋_GBK"/>
              </w:rPr>
            </w:pPr>
            <w:r>
              <w:rPr>
                <w:rFonts w:ascii="方正书宋_GBK" w:eastAsia="方正书宋_GBK"/>
              </w:rPr>
              <w:t>B060399</w:t>
            </w:r>
          </w:p>
        </w:tc>
        <w:tc>
          <w:tcPr>
            <w:tcW w:w="771"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rPr>
            </w:pPr>
            <w:r>
              <w:rPr>
                <w:rFonts w:ascii="方正书宋_GBK" w:eastAsia="方正书宋_GBK"/>
              </w:rPr>
              <w:t>270.00</w:t>
            </w:r>
          </w:p>
        </w:tc>
        <w:tc>
          <w:tcPr>
            <w:tcW w:w="1184" w:type="dxa"/>
            <w:shd w:val="clear" w:color="auto" w:fill="auto"/>
            <w:vAlign w:val="center"/>
          </w:tcPr>
          <w:p>
            <w:pPr>
              <w:spacing w:line="300" w:lineRule="exact"/>
              <w:jc w:val="right"/>
              <w:rPr>
                <w:rFonts w:ascii="方正书宋_GBK" w:eastAsia="方正书宋_GBK"/>
              </w:rPr>
            </w:pPr>
            <w:r>
              <w:rPr>
                <w:rFonts w:ascii="方正书宋_GBK" w:eastAsia="方正书宋_GBK"/>
              </w:rPr>
              <w:t>270.00</w:t>
            </w:r>
          </w:p>
        </w:tc>
        <w:tc>
          <w:tcPr>
            <w:tcW w:w="1476" w:type="dxa"/>
            <w:shd w:val="clear" w:color="auto" w:fill="auto"/>
            <w:vAlign w:val="center"/>
          </w:tcPr>
          <w:p>
            <w:pPr>
              <w:spacing w:line="300" w:lineRule="exact"/>
              <w:jc w:val="right"/>
              <w:rPr>
                <w:rFonts w:ascii="方正书宋_GBK" w:eastAsia="方正书宋_GBK" w:cs="Times New Roman"/>
              </w:rPr>
            </w:pPr>
          </w:p>
        </w:tc>
        <w:tc>
          <w:tcPr>
            <w:tcW w:w="1228" w:type="dxa"/>
            <w:shd w:val="clear" w:color="auto" w:fill="auto"/>
            <w:vAlign w:val="center"/>
          </w:tcPr>
          <w:p>
            <w:pPr>
              <w:spacing w:line="300" w:lineRule="exact"/>
              <w:jc w:val="right"/>
              <w:rPr>
                <w:rFonts w:ascii="方正书宋_GBK" w:eastAsia="方正书宋_GBK"/>
              </w:rPr>
            </w:pPr>
            <w:r>
              <w:rPr>
                <w:rFonts w:ascii="方正书宋_GBK" w:eastAsia="方正书宋_GBK"/>
              </w:rPr>
              <w:t>270.00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软件运维服务</w:t>
            </w:r>
          </w:p>
        </w:tc>
        <w:tc>
          <w:tcPr>
            <w:tcW w:w="1574" w:type="dxa"/>
            <w:shd w:val="clear" w:color="auto" w:fill="auto"/>
            <w:vAlign w:val="center"/>
          </w:tcPr>
          <w:p>
            <w:pPr>
              <w:spacing w:line="300" w:lineRule="exact"/>
              <w:jc w:val="left"/>
              <w:rPr>
                <w:rFonts w:ascii="方正书宋_GBK" w:eastAsia="方正书宋_GBK"/>
              </w:rPr>
            </w:pPr>
            <w:r>
              <w:rPr>
                <w:rFonts w:ascii="方正书宋_GBK" w:eastAsia="方正书宋_GBK"/>
              </w:rPr>
              <w:t>C020603</w:t>
            </w:r>
          </w:p>
        </w:tc>
        <w:tc>
          <w:tcPr>
            <w:tcW w:w="771"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rPr>
            </w:pPr>
            <w:r>
              <w:rPr>
                <w:rFonts w:ascii="方正书宋_GBK" w:eastAsia="方正书宋_GBK"/>
              </w:rPr>
              <w:t>151.00</w:t>
            </w:r>
          </w:p>
        </w:tc>
        <w:tc>
          <w:tcPr>
            <w:tcW w:w="1184" w:type="dxa"/>
            <w:shd w:val="clear" w:color="auto" w:fill="auto"/>
            <w:vAlign w:val="center"/>
          </w:tcPr>
          <w:p>
            <w:pPr>
              <w:spacing w:line="300" w:lineRule="exact"/>
              <w:jc w:val="right"/>
              <w:rPr>
                <w:rFonts w:ascii="方正书宋_GBK" w:eastAsia="方正书宋_GBK"/>
              </w:rPr>
            </w:pPr>
            <w:r>
              <w:rPr>
                <w:rFonts w:ascii="方正书宋_GBK" w:eastAsia="方正书宋_GBK"/>
              </w:rPr>
              <w:t>151.00</w:t>
            </w:r>
          </w:p>
        </w:tc>
        <w:tc>
          <w:tcPr>
            <w:tcW w:w="1476" w:type="dxa"/>
            <w:shd w:val="clear" w:color="auto" w:fill="auto"/>
            <w:vAlign w:val="center"/>
          </w:tcPr>
          <w:p>
            <w:pPr>
              <w:spacing w:line="300" w:lineRule="exact"/>
              <w:jc w:val="right"/>
              <w:rPr>
                <w:rFonts w:ascii="方正书宋_GBK" w:eastAsia="方正书宋_GBK" w:cs="Times New Roman"/>
              </w:rPr>
            </w:pPr>
          </w:p>
        </w:tc>
        <w:tc>
          <w:tcPr>
            <w:tcW w:w="1228" w:type="dxa"/>
            <w:shd w:val="clear" w:color="auto" w:fill="auto"/>
            <w:vAlign w:val="center"/>
          </w:tcPr>
          <w:p>
            <w:pPr>
              <w:spacing w:line="300" w:lineRule="exact"/>
              <w:jc w:val="right"/>
              <w:rPr>
                <w:rFonts w:ascii="方正书宋_GBK" w:eastAsia="方正书宋_GBK"/>
              </w:rPr>
            </w:pPr>
            <w:r>
              <w:rPr>
                <w:rFonts w:ascii="方正书宋_GBK" w:eastAsia="方正书宋_GBK"/>
              </w:rPr>
              <w:t>151.00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其他基础设施建设项目（基金）</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6964.76</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2742.00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2742.00</w:t>
            </w:r>
          </w:p>
        </w:tc>
        <w:tc>
          <w:tcPr>
            <w:tcW w:w="1476" w:type="dxa"/>
            <w:shd w:val="clear" w:color="auto" w:fill="auto"/>
            <w:vAlign w:val="center"/>
          </w:tcPr>
          <w:p>
            <w:pPr>
              <w:spacing w:line="300" w:lineRule="exact"/>
              <w:jc w:val="right"/>
              <w:rPr>
                <w:rFonts w:ascii="方正书宋_GBK" w:eastAsia="方正书宋_GBK" w:cs="Times New Roman"/>
              </w:rPr>
            </w:pPr>
          </w:p>
        </w:tc>
        <w:tc>
          <w:tcPr>
            <w:tcW w:w="1228"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2742.00</w:t>
            </w: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容貌改善项目（一般）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4038.58</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其他专业技术服务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C0908</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容貌改善项目（一般）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4038.58</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其他市政公共设施管理服务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360.00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360.00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360.00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容貌改善项目（一般）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4038.58</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其他市政公共设施管理服务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306.00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306.00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306.00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容貌改善项目（一般）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4038.58</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其他道路运输服务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C17029999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文体活动项目（一般）</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584.49</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健身设备</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A033626</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75.00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75.00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75.00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市政公共设施用房</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A010213</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540.00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540.00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540.00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LED</w:t>
            </w:r>
            <w:r>
              <w:rPr>
                <w:rFonts w:hint="eastAsia" w:ascii="方正书宋_GBK" w:eastAsia="方正书宋_GBK"/>
              </w:rPr>
              <w:t>显示屏</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A020207</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156.00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156.00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156.00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电梯</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A02051228</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部</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2</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35.00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其他机械设备</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A020599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视频监控设备</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A02091107</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其他运行维护服务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C020699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486.00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486.00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486.00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其他运行维护服务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C020699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516.60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516.60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516.60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测绘服务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C0904</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104.00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104.00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104.00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其他专业技术服务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C0908</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工程造价咨询服务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C1008</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33.00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33.00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33.00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其他工程咨询管理服务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C1099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150.00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防洪管理服务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C1101</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物业管理服务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C1204</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525.00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525.00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525.00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城市规划和设计服务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C1301</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1020.00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1020.00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1020.00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城市规划和设计服务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C1301</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城市规划和设计服务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C1301</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120.00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市政公共设施管理服务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C1302</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300.00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城市市容管理服务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C1304</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90.00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其他市政公共设施管理服务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C1399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585.00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585.00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585.00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48.00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2011"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园区社会事业发展建设项目</w:t>
            </w:r>
          </w:p>
        </w:tc>
        <w:tc>
          <w:tcPr>
            <w:tcW w:w="102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7126.00</w:t>
            </w:r>
          </w:p>
        </w:tc>
        <w:tc>
          <w:tcPr>
            <w:tcW w:w="1475" w:type="dxa"/>
            <w:shd w:val="clear" w:color="auto" w:fill="auto"/>
            <w:vAlign w:val="center"/>
          </w:tcPr>
          <w:p>
            <w:pPr>
              <w:spacing w:line="300" w:lineRule="exact"/>
              <w:jc w:val="left"/>
              <w:rPr>
                <w:rFonts w:ascii="方正书宋_GBK" w:eastAsia="方正书宋_GBK" w:cs="Times New Roman"/>
              </w:rPr>
            </w:pPr>
            <w:r>
              <w:rPr>
                <w:rFonts w:hint="eastAsia" w:ascii="方正书宋_GBK" w:eastAsia="方正书宋_GBK"/>
              </w:rPr>
              <w:t>其他服务</w:t>
            </w:r>
          </w:p>
        </w:tc>
        <w:tc>
          <w:tcPr>
            <w:tcW w:w="1574" w:type="dxa"/>
            <w:shd w:val="clear" w:color="auto" w:fill="auto"/>
            <w:vAlign w:val="center"/>
          </w:tcPr>
          <w:p>
            <w:pPr>
              <w:spacing w:line="300" w:lineRule="exact"/>
              <w:jc w:val="left"/>
              <w:rPr>
                <w:rFonts w:ascii="方正书宋_GBK" w:eastAsia="方正书宋_GBK" w:cs="Times New Roman"/>
              </w:rPr>
            </w:pPr>
            <w:r>
              <w:rPr>
                <w:rFonts w:ascii="方正书宋_GBK" w:eastAsia="方正书宋_GBK"/>
              </w:rPr>
              <w:t>C99</w:t>
            </w:r>
          </w:p>
        </w:tc>
        <w:tc>
          <w:tcPr>
            <w:tcW w:w="771" w:type="dxa"/>
            <w:shd w:val="clear" w:color="auto" w:fill="auto"/>
            <w:vAlign w:val="center"/>
          </w:tcPr>
          <w:p>
            <w:pPr>
              <w:spacing w:line="300" w:lineRule="exact"/>
              <w:jc w:val="center"/>
              <w:rPr>
                <w:rFonts w:ascii="方正书宋_GBK" w:eastAsia="方正书宋_GBK" w:cs="Times New Roman"/>
              </w:rPr>
            </w:pPr>
            <w:r>
              <w:rPr>
                <w:rFonts w:hint="eastAsia" w:ascii="方正书宋_GBK" w:eastAsia="方正书宋_GBK"/>
              </w:rPr>
              <w:t>次</w:t>
            </w:r>
          </w:p>
        </w:tc>
        <w:tc>
          <w:tcPr>
            <w:tcW w:w="513"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w:t>
            </w:r>
          </w:p>
        </w:tc>
        <w:tc>
          <w:tcPr>
            <w:tcW w:w="1007"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180.00</w:t>
            </w:r>
          </w:p>
        </w:tc>
        <w:tc>
          <w:tcPr>
            <w:tcW w:w="1184"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180.00</w:t>
            </w:r>
          </w:p>
        </w:tc>
        <w:tc>
          <w:tcPr>
            <w:tcW w:w="1476" w:type="dxa"/>
            <w:shd w:val="clear" w:color="auto" w:fill="auto"/>
            <w:vAlign w:val="center"/>
          </w:tcPr>
          <w:p>
            <w:pPr>
              <w:spacing w:line="300" w:lineRule="exact"/>
              <w:jc w:val="right"/>
              <w:rPr>
                <w:rFonts w:ascii="方正书宋_GBK" w:eastAsia="方正书宋_GBK" w:cs="Times New Roman"/>
              </w:rPr>
            </w:pPr>
            <w:r>
              <w:rPr>
                <w:rFonts w:ascii="方正书宋_GBK" w:eastAsia="方正书宋_GBK"/>
              </w:rPr>
              <w:t>180.00</w:t>
            </w:r>
          </w:p>
        </w:tc>
        <w:tc>
          <w:tcPr>
            <w:tcW w:w="1228" w:type="dxa"/>
            <w:shd w:val="clear" w:color="auto" w:fill="auto"/>
            <w:vAlign w:val="center"/>
          </w:tcPr>
          <w:p>
            <w:pPr>
              <w:spacing w:line="300" w:lineRule="exact"/>
              <w:jc w:val="right"/>
              <w:rPr>
                <w:rFonts w:ascii="方正书宋_GBK" w:eastAsia="方正书宋_GBK" w:cs="Times New Roman"/>
              </w:rPr>
            </w:pPr>
          </w:p>
        </w:tc>
        <w:tc>
          <w:tcPr>
            <w:tcW w:w="1201" w:type="dxa"/>
            <w:shd w:val="clear" w:color="auto" w:fill="auto"/>
            <w:vAlign w:val="center"/>
          </w:tcPr>
          <w:p>
            <w:pPr>
              <w:spacing w:line="300" w:lineRule="exact"/>
              <w:jc w:val="right"/>
              <w:rPr>
                <w:rFonts w:ascii="方正书宋_GBK" w:eastAsia="方正书宋_GBK" w:cs="Times New Roman"/>
              </w:rPr>
            </w:pPr>
          </w:p>
        </w:tc>
        <w:tc>
          <w:tcPr>
            <w:tcW w:w="857" w:type="dxa"/>
            <w:shd w:val="clear" w:color="auto" w:fill="auto"/>
            <w:vAlign w:val="center"/>
          </w:tcPr>
          <w:p>
            <w:pPr>
              <w:spacing w:line="300" w:lineRule="exact"/>
              <w:jc w:val="right"/>
              <w:rPr>
                <w:rFonts w:ascii="方正书宋_GBK" w:eastAsia="方正书宋_GBK" w:cs="Times New Roman"/>
              </w:rPr>
            </w:pPr>
          </w:p>
        </w:tc>
        <w:tc>
          <w:tcPr>
            <w:tcW w:w="685" w:type="dxa"/>
            <w:shd w:val="clear" w:color="auto" w:fill="auto"/>
            <w:vAlign w:val="center"/>
          </w:tcPr>
          <w:p>
            <w:pPr>
              <w:spacing w:line="300" w:lineRule="exact"/>
              <w:jc w:val="right"/>
              <w:rPr>
                <w:rFonts w:ascii="方正书宋_GBK" w:eastAsia="方正书宋_GBK" w:cs="Times New Roman"/>
              </w:rPr>
            </w:pPr>
          </w:p>
        </w:tc>
      </w:tr>
    </w:tbl>
    <w:p>
      <w:pPr>
        <w:spacing w:line="584" w:lineRule="exact"/>
        <w:jc w:val="left"/>
        <w:outlineLvl w:val="0"/>
        <w:rPr>
          <w:rFonts w:ascii="Times New Roman" w:hAnsi="Times New Roman" w:eastAsia="仿宋_GB2312" w:cs="Times New Roman"/>
        </w:rPr>
        <w:sectPr>
          <w:footerReference r:id="rId3" w:type="default"/>
          <w:pgSz w:w="16839" w:h="11907" w:orient="landscape"/>
          <w:pgMar w:top="1361" w:right="1020" w:bottom="1361" w:left="1020" w:header="851" w:footer="992" w:gutter="0"/>
          <w:cols w:space="720" w:num="1"/>
          <w:docGrid w:type="lines" w:linePitch="312" w:charSpace="0"/>
        </w:sect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七、国有资产信息</w:t>
      </w:r>
    </w:p>
    <w:p>
      <w:pPr>
        <w:spacing w:line="584"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三河</w:t>
      </w:r>
      <w:r>
        <w:rPr>
          <w:rFonts w:ascii="Times New Roman" w:hAnsi="Times New Roman" w:eastAsia="仿宋_GB2312" w:cs="Times New Roman"/>
          <w:sz w:val="32"/>
          <w:szCs w:val="32"/>
        </w:rPr>
        <w:t>市</w:t>
      </w:r>
      <w:r>
        <w:rPr>
          <w:rFonts w:hint="eastAsia" w:ascii="Times New Roman" w:hAnsi="Times New Roman" w:eastAsia="仿宋_GB2312" w:cs="Times New Roman"/>
          <w:sz w:val="32"/>
          <w:szCs w:val="32"/>
        </w:rPr>
        <w:t>燕郊高新技术产业开发区</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rPr>
        <w:t>31956.87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总额为0万元</w:t>
      </w:r>
      <w:r>
        <w:rPr>
          <w:rFonts w:ascii="Times New Roman" w:hAnsi="Times New Roman" w:eastAsia="仿宋_GB2312" w:cs="Times New Roman"/>
          <w:sz w:val="32"/>
          <w:szCs w:val="32"/>
        </w:rPr>
        <w:t>。</w:t>
      </w:r>
    </w:p>
    <w:p>
      <w:pPr>
        <w:spacing w:line="584" w:lineRule="exact"/>
        <w:ind w:firstLine="640"/>
        <w:rPr>
          <w:rFonts w:ascii="Times New Roman" w:hAnsi="Times New Roman" w:eastAsia="仿宋_GB2312" w:cs="Times New Roman"/>
          <w:sz w:val="32"/>
          <w:szCs w:val="32"/>
        </w:rPr>
      </w:pPr>
    </w:p>
    <w:tbl>
      <w:tblPr>
        <w:tblStyle w:val="10"/>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spacing w:line="584" w:lineRule="exact"/>
              <w:jc w:val="center"/>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三河</w:t>
            </w:r>
            <w:r>
              <w:rPr>
                <w:rFonts w:ascii="Times New Roman" w:hAnsi="Times New Roman" w:eastAsia="仿宋_GB2312" w:cs="Times New Roman"/>
                <w:b/>
                <w:bCs/>
                <w:kern w:val="0"/>
                <w:sz w:val="32"/>
                <w:szCs w:val="32"/>
              </w:rPr>
              <w:t>市</w:t>
            </w:r>
            <w:r>
              <w:rPr>
                <w:rFonts w:hint="eastAsia" w:ascii="Times New Roman" w:hAnsi="Times New Roman" w:eastAsia="仿宋_GB2312" w:cs="Times New Roman"/>
                <w:b/>
                <w:bCs/>
                <w:sz w:val="32"/>
                <w:szCs w:val="32"/>
              </w:rPr>
              <w:t>燕郊高新技术产业开发区</w:t>
            </w:r>
            <w:r>
              <w:rPr>
                <w:rFonts w:ascii="Times New Roman" w:hAnsi="Times New Roman" w:eastAsia="仿宋_GB2312" w:cs="Times New Roman"/>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编制部门：</w:t>
            </w:r>
            <w:r>
              <w:rPr>
                <w:rFonts w:hint="eastAsia" w:ascii="Times New Roman" w:hAnsi="Times New Roman" w:eastAsia="仿宋_GB2312" w:cs="Times New Roman"/>
                <w:kern w:val="0"/>
                <w:sz w:val="22"/>
              </w:rPr>
              <w:t>三河</w:t>
            </w:r>
            <w:r>
              <w:rPr>
                <w:rFonts w:ascii="Times New Roman" w:hAnsi="Times New Roman" w:eastAsia="仿宋_GB2312" w:cs="Times New Roman"/>
                <w:kern w:val="0"/>
                <w:sz w:val="22"/>
              </w:rPr>
              <w:t>市</w:t>
            </w:r>
            <w:r>
              <w:rPr>
                <w:rFonts w:hint="eastAsia" w:ascii="Times New Roman" w:hAnsi="Times New Roman" w:eastAsia="仿宋_GB2312" w:cs="Times New Roman"/>
                <w:kern w:val="0"/>
                <w:sz w:val="22"/>
              </w:rPr>
              <w:t>燕郊高新技术产业开发区</w:t>
            </w:r>
          </w:p>
        </w:tc>
        <w:tc>
          <w:tcPr>
            <w:tcW w:w="5103" w:type="dxa"/>
            <w:tcBorders>
              <w:top w:val="nil"/>
              <w:left w:val="nil"/>
              <w:bottom w:val="nil"/>
              <w:right w:val="nil"/>
            </w:tcBorders>
            <w:shd w:val="clear" w:color="auto" w:fill="auto"/>
            <w:vAlign w:val="center"/>
          </w:tcPr>
          <w:p>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20</w:t>
            </w:r>
            <w:r>
              <w:rPr>
                <w:rFonts w:ascii="Times New Roman" w:hAnsi="Times New Roman" w:eastAsia="仿宋_GB2312" w:cs="Times New Roman"/>
                <w:kern w:val="0"/>
                <w:sz w:val="22"/>
              </w:rPr>
              <w:t xml:space="preserve">年12月31日  </w:t>
            </w:r>
          </w:p>
        </w:tc>
      </w:tr>
      <w:tr>
        <w:tblPrEx>
          <w:tblLayout w:type="fixed"/>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tblPrEx>
          <w:tblLayout w:type="fixed"/>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31956.87</w:t>
            </w:r>
          </w:p>
        </w:tc>
      </w:tr>
      <w:tr>
        <w:tblPrEx>
          <w:tblLayout w:type="fixed"/>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53264.45</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8626.47</w:t>
            </w:r>
          </w:p>
        </w:tc>
      </w:tr>
      <w:tr>
        <w:tblPrEx>
          <w:tblLayout w:type="fixed"/>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15195.61</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4344.75</w:t>
            </w:r>
          </w:p>
        </w:tc>
      </w:tr>
      <w:tr>
        <w:tblPrEx>
          <w:tblLayout w:type="fixed"/>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33</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373.54</w:t>
            </w:r>
          </w:p>
        </w:tc>
      </w:tr>
      <w:tr>
        <w:tblPrEx>
          <w:tblLayout w:type="fixed"/>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268</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14808.52</w:t>
            </w:r>
          </w:p>
        </w:tc>
      </w:tr>
      <w:tr>
        <w:tblPrEx>
          <w:tblLayout w:type="fixed"/>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33547</w:t>
            </w:r>
          </w:p>
        </w:tc>
        <w:tc>
          <w:tcPr>
            <w:tcW w:w="5103" w:type="dxa"/>
            <w:tcBorders>
              <w:top w:val="nil"/>
              <w:left w:val="nil"/>
              <w:bottom w:val="single" w:color="auto" w:sz="4" w:space="0"/>
              <w:right w:val="single" w:color="auto" w:sz="4" w:space="0"/>
            </w:tcBorders>
            <w:shd w:val="clear" w:color="auto" w:fill="auto"/>
            <w:vAlign w:val="center"/>
          </w:tcPr>
          <w:p>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8148.34</w:t>
            </w:r>
          </w:p>
        </w:tc>
      </w:tr>
    </w:tbl>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八、名词解释</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指省级财政当年拨付的资金。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九、其他需要说明的事项</w:t>
      </w:r>
    </w:p>
    <w:p>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sectPr>
      <w:pgSz w:w="16838" w:h="11906" w:orient="landscape"/>
      <w:pgMar w:top="1800" w:right="1440" w:bottom="1800"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00000000" w:usb1="00000000" w:usb2="00000000" w:usb3="00000000" w:csb0="00000000" w:csb1="00000000"/>
  </w:font>
  <w:font w:name="微软雅黑">
    <w:panose1 w:val="020B0503020204020204"/>
    <w:charset w:val="86"/>
    <w:family w:val="swiss"/>
    <w:pitch w:val="default"/>
    <w:sig w:usb0="00000000" w:usb1="00000000" w:usb2="00000000" w:usb3="00000000" w:csb0="00000000" w:csb1="00000000"/>
  </w:font>
  <w:font w:name="??">
    <w:altName w:val="Times New Roman"/>
    <w:panose1 w:val="00000000000000000000"/>
    <w:charset w:val="00"/>
    <w:family w:val="auto"/>
    <w:pitch w:val="default"/>
    <w:sig w:usb0="00000000" w:usb1="00000000" w:usb2="00000000" w:usb3="00000000" w:csb0="00000001" w:csb1="00000000"/>
  </w:font>
  <w:font w:name="方正书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t>-</w:t>
    </w:r>
    <w:r>
      <w:fldChar w:fldCharType="begin"/>
    </w:r>
    <w:r>
      <w:instrText xml:space="preserve">PAGE   \* MERGEFORMAT</w:instrText>
    </w:r>
    <w:r>
      <w:fldChar w:fldCharType="separate"/>
    </w:r>
    <w:r>
      <w:rPr>
        <w:lang w:val="zh-CN"/>
      </w:rPr>
      <w:t>11</w:t>
    </w:r>
    <w:r>
      <w:rPr>
        <w:lang w:val="zh-CN"/>
      </w:rPr>
      <w:fldChar w:fldCharType="end"/>
    </w:r>
    <w:r>
      <w:rPr>
        <w:rFonts w:hint="eastAsia"/>
      </w:rPr>
      <w:t>-</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yNjBiNTBhMjhkNDI3ZGU4OWM3NDQyOGE4YzA0MzAifQ=="/>
  </w:docVars>
  <w:rsids>
    <w:rsidRoot w:val="00D347CC"/>
    <w:rsid w:val="00136D2B"/>
    <w:rsid w:val="00264DFD"/>
    <w:rsid w:val="00341A0C"/>
    <w:rsid w:val="003B15B3"/>
    <w:rsid w:val="004260D9"/>
    <w:rsid w:val="004A54AA"/>
    <w:rsid w:val="007101CC"/>
    <w:rsid w:val="00874BD3"/>
    <w:rsid w:val="00AA786E"/>
    <w:rsid w:val="00AC5942"/>
    <w:rsid w:val="00B80935"/>
    <w:rsid w:val="00C33D0A"/>
    <w:rsid w:val="00D347CC"/>
    <w:rsid w:val="00F950EE"/>
    <w:rsid w:val="060A0B6E"/>
    <w:rsid w:val="0669004F"/>
    <w:rsid w:val="07EF6D43"/>
    <w:rsid w:val="0B4008E7"/>
    <w:rsid w:val="0B9F6CA5"/>
    <w:rsid w:val="0C28590E"/>
    <w:rsid w:val="0EEB436B"/>
    <w:rsid w:val="14DE48C4"/>
    <w:rsid w:val="15D90DC6"/>
    <w:rsid w:val="16BE1065"/>
    <w:rsid w:val="1C0B53F6"/>
    <w:rsid w:val="1CAB3ABD"/>
    <w:rsid w:val="1E322888"/>
    <w:rsid w:val="1EDE6550"/>
    <w:rsid w:val="1F3E3B33"/>
    <w:rsid w:val="200F33CA"/>
    <w:rsid w:val="224E4480"/>
    <w:rsid w:val="24213526"/>
    <w:rsid w:val="24B94B95"/>
    <w:rsid w:val="24E94133"/>
    <w:rsid w:val="288C28A6"/>
    <w:rsid w:val="2B6B7CDD"/>
    <w:rsid w:val="2D745C4E"/>
    <w:rsid w:val="2E166214"/>
    <w:rsid w:val="2EF21244"/>
    <w:rsid w:val="301F21CF"/>
    <w:rsid w:val="321334F4"/>
    <w:rsid w:val="32FB6652"/>
    <w:rsid w:val="35B530CB"/>
    <w:rsid w:val="3630094B"/>
    <w:rsid w:val="37D53067"/>
    <w:rsid w:val="3C155BD9"/>
    <w:rsid w:val="3D8B54CA"/>
    <w:rsid w:val="42CC73B0"/>
    <w:rsid w:val="43853F9C"/>
    <w:rsid w:val="44D65CF1"/>
    <w:rsid w:val="4738701A"/>
    <w:rsid w:val="49BD746F"/>
    <w:rsid w:val="4EBD4380"/>
    <w:rsid w:val="50B6766D"/>
    <w:rsid w:val="5208241F"/>
    <w:rsid w:val="53654734"/>
    <w:rsid w:val="56BD020A"/>
    <w:rsid w:val="58B876DE"/>
    <w:rsid w:val="58F513B6"/>
    <w:rsid w:val="5A661BB1"/>
    <w:rsid w:val="6020565B"/>
    <w:rsid w:val="61845788"/>
    <w:rsid w:val="64C46BF3"/>
    <w:rsid w:val="6EF44B38"/>
    <w:rsid w:val="72847FDC"/>
    <w:rsid w:val="72E97286"/>
    <w:rsid w:val="7A836046"/>
    <w:rsid w:val="7D163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8">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5">
    <w:name w:val="toc 1"/>
    <w:basedOn w:val="1"/>
    <w:next w:val="1"/>
    <w:qFormat/>
    <w:uiPriority w:val="0"/>
    <w:rPr>
      <w:rFonts w:ascii="Times New Roman" w:hAnsi="Times New Roman" w:cs="Times New Roman"/>
      <w:szCs w:val="24"/>
    </w:rPr>
  </w:style>
  <w:style w:type="paragraph" w:styleId="6">
    <w:name w:val="footnote text"/>
    <w:basedOn w:val="1"/>
    <w:qFormat/>
    <w:uiPriority w:val="0"/>
    <w:pPr>
      <w:snapToGrid w:val="0"/>
      <w:jc w:val="left"/>
    </w:pPr>
    <w:rPr>
      <w:rFonts w:cs="Times New Roman"/>
      <w:sz w:val="18"/>
      <w:szCs w:val="18"/>
    </w:rPr>
  </w:style>
  <w:style w:type="paragraph" w:styleId="7">
    <w:name w:val="toc 2"/>
    <w:basedOn w:val="1"/>
    <w:next w:val="1"/>
    <w:qFormat/>
    <w:uiPriority w:val="0"/>
    <w:pPr>
      <w:ind w:left="200" w:leftChars="200"/>
    </w:pPr>
    <w:rPr>
      <w:rFonts w:ascii="Times New Roman" w:hAnsi="Times New Roman" w:cs="Times New Roman"/>
      <w:szCs w:val="24"/>
    </w:rPr>
  </w:style>
  <w:style w:type="character" w:styleId="9">
    <w:name w:val="footnote reference"/>
    <w:qFormat/>
    <w:uiPriority w:val="0"/>
    <w:rPr>
      <w:vertAlign w:val="superscript"/>
    </w:rPr>
  </w:style>
  <w:style w:type="paragraph" w:customStyle="1" w:styleId="1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4878</Words>
  <Characters>27809</Characters>
  <Lines>231</Lines>
  <Paragraphs>65</Paragraphs>
  <TotalTime>24</TotalTime>
  <ScaleCrop>false</ScaleCrop>
  <LinksUpToDate>false</LinksUpToDate>
  <CharactersWithSpaces>32622</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2020-01-13T03:27:00Z</dcterms:created>
  <dc:creator>guest</dc:creator>
  <cp:lastModifiedBy>Je t'aime</cp:lastModifiedBy>
  <cp:lastPrinted>2021-04-09T09:12:00Z</cp:lastPrinted>
  <dcterms:modified xsi:type="dcterms:W3CDTF">2024-05-15T02:57:47Z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ICV">
    <vt:lpwstr>16613AA8B5134A0AB856EE9A3BCD991F_13</vt:lpwstr>
  </property>
</Properties>
</file>